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210AD">
        <w:trPr>
          <w:tblCellSpacing w:w="60" w:type="dxa"/>
        </w:trPr>
        <w:tc>
          <w:tcPr>
            <w:tcW w:w="1200" w:type="pct"/>
            <w:shd w:val="clear" w:color="auto" w:fill="E7F0F9"/>
          </w:tcPr>
          <w:p w:rsidR="007210AD" w:rsidRDefault="008F3E59">
            <w:pPr>
              <w:spacing w:after="0" w:line="240" w:lineRule="auto"/>
            </w:pPr>
            <w:r>
              <w:rPr>
                <w:b/>
              </w:rPr>
              <w:t>RKP broj</w:t>
            </w:r>
          </w:p>
        </w:tc>
        <w:tc>
          <w:tcPr>
            <w:tcW w:w="0" w:type="auto"/>
            <w:shd w:val="clear" w:color="auto" w:fill="E7F0F9"/>
          </w:tcPr>
          <w:p w:rsidR="007210AD" w:rsidRDefault="008F3E59">
            <w:pPr>
              <w:spacing w:after="0" w:line="240" w:lineRule="auto"/>
            </w:pPr>
            <w:r>
              <w:t>9144</w:t>
            </w:r>
          </w:p>
        </w:tc>
      </w:tr>
      <w:tr w:rsidR="007210AD">
        <w:trPr>
          <w:tblCellSpacing w:w="60" w:type="dxa"/>
        </w:trPr>
        <w:tc>
          <w:tcPr>
            <w:tcW w:w="1200" w:type="pct"/>
            <w:shd w:val="clear" w:color="auto" w:fill="E7F0F9"/>
          </w:tcPr>
          <w:p w:rsidR="007210AD" w:rsidRDefault="008F3E59">
            <w:pPr>
              <w:spacing w:after="0" w:line="240" w:lineRule="auto"/>
            </w:pPr>
            <w:r>
              <w:rPr>
                <w:b/>
              </w:rPr>
              <w:t>Naziv obveznika</w:t>
            </w:r>
          </w:p>
        </w:tc>
        <w:tc>
          <w:tcPr>
            <w:tcW w:w="0" w:type="auto"/>
            <w:shd w:val="clear" w:color="auto" w:fill="E7F0F9"/>
          </w:tcPr>
          <w:p w:rsidR="007210AD" w:rsidRDefault="008F3E59">
            <w:pPr>
              <w:spacing w:after="0" w:line="240" w:lineRule="auto"/>
            </w:pPr>
            <w:r>
              <w:t>OSNOVNA ŠKOLA JOSIPA KOZARCA</w:t>
            </w:r>
          </w:p>
        </w:tc>
      </w:tr>
      <w:tr w:rsidR="007210AD">
        <w:trPr>
          <w:tblCellSpacing w:w="60" w:type="dxa"/>
        </w:trPr>
        <w:tc>
          <w:tcPr>
            <w:tcW w:w="1200" w:type="pct"/>
            <w:shd w:val="clear" w:color="auto" w:fill="E7F0F9"/>
          </w:tcPr>
          <w:p w:rsidR="007210AD" w:rsidRDefault="008F3E59">
            <w:pPr>
              <w:spacing w:after="0" w:line="240" w:lineRule="auto"/>
            </w:pPr>
            <w:r>
              <w:rPr>
                <w:b/>
              </w:rPr>
              <w:t>Razina</w:t>
            </w:r>
          </w:p>
        </w:tc>
        <w:tc>
          <w:tcPr>
            <w:tcW w:w="0" w:type="auto"/>
            <w:shd w:val="clear" w:color="auto" w:fill="E7F0F9"/>
          </w:tcPr>
          <w:p w:rsidR="007210AD" w:rsidRDefault="008F3E59">
            <w:pPr>
              <w:spacing w:after="0" w:line="240" w:lineRule="auto"/>
            </w:pPr>
            <w:r>
              <w:t>31</w:t>
            </w:r>
          </w:p>
        </w:tc>
      </w:tr>
    </w:tbl>
    <w:p w:rsidR="007210AD" w:rsidRDefault="008F3E59">
      <w:r>
        <w:br/>
      </w:r>
    </w:p>
    <w:p w:rsidR="007210AD" w:rsidRDefault="008F3E59">
      <w:pPr>
        <w:spacing w:line="240" w:lineRule="auto"/>
        <w:jc w:val="center"/>
      </w:pPr>
      <w:r>
        <w:rPr>
          <w:b/>
          <w:sz w:val="28"/>
        </w:rPr>
        <w:t>BILJEŠKE UZ FINANCIJSKE IZVJEŠTAJE</w:t>
      </w:r>
    </w:p>
    <w:p w:rsidR="007210AD" w:rsidRDefault="008F3E59">
      <w:pPr>
        <w:spacing w:line="240" w:lineRule="auto"/>
        <w:jc w:val="center"/>
      </w:pPr>
      <w:r>
        <w:rPr>
          <w:b/>
          <w:sz w:val="28"/>
        </w:rPr>
        <w:t>ZA RAZDOBLJE</w:t>
      </w:r>
    </w:p>
    <w:p w:rsidR="007210AD" w:rsidRDefault="008F3E59">
      <w:pPr>
        <w:spacing w:line="240" w:lineRule="auto"/>
        <w:jc w:val="center"/>
      </w:pPr>
      <w:r>
        <w:rPr>
          <w:b/>
          <w:sz w:val="28"/>
        </w:rPr>
        <w:t>I - XII 2025.</w:t>
      </w:r>
    </w:p>
    <w:p w:rsidR="007210AD" w:rsidRDefault="007210AD"/>
    <w:p w:rsidR="007210AD" w:rsidRDefault="008F3E59">
      <w:pPr>
        <w:keepNext/>
        <w:spacing w:line="240" w:lineRule="auto"/>
        <w:jc w:val="center"/>
      </w:pPr>
      <w:r>
        <w:rPr>
          <w:b/>
          <w:sz w:val="28"/>
        </w:rPr>
        <w:t>Izvještaj o prihodima i rashodima, primicima i izdacima</w:t>
      </w:r>
    </w:p>
    <w:p w:rsidR="007210AD" w:rsidRDefault="008F3E5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w:t>
            </w:r>
          </w:p>
        </w:tc>
        <w:tc>
          <w:tcPr>
            <w:tcW w:w="3180" w:type="dxa"/>
            <w:tcMar>
              <w:top w:w="0" w:type="dxa"/>
              <w:bottom w:w="0" w:type="dxa"/>
            </w:tcMar>
            <w:vAlign w:val="center"/>
          </w:tcPr>
          <w:p w:rsidR="007210AD" w:rsidRDefault="008F3E59">
            <w:pPr>
              <w:keepNext/>
              <w:keepLines/>
              <w:spacing w:after="0" w:line="240" w:lineRule="auto"/>
            </w:pPr>
            <w:r>
              <w:rPr>
                <w:sz w:val="18"/>
              </w:rPr>
              <w:t>PRIHODI POSLOVANJA (šifre 61+62+63+64+65+66+67+68)</w:t>
            </w:r>
          </w:p>
        </w:tc>
        <w:tc>
          <w:tcPr>
            <w:tcW w:w="700" w:type="dxa"/>
            <w:tcMar>
              <w:top w:w="0" w:type="dxa"/>
              <w:bottom w:w="0" w:type="dxa"/>
            </w:tcMar>
            <w:vAlign w:val="center"/>
          </w:tcPr>
          <w:p w:rsidR="007210AD" w:rsidRDefault="008F3E59">
            <w:pPr>
              <w:keepNext/>
              <w:keepLines/>
              <w:spacing w:after="0" w:line="240" w:lineRule="auto"/>
            </w:pPr>
            <w:r>
              <w:rPr>
                <w:sz w:val="18"/>
              </w:rPr>
              <w:t>6</w:t>
            </w:r>
          </w:p>
        </w:tc>
        <w:tc>
          <w:tcPr>
            <w:tcW w:w="1860" w:type="dxa"/>
            <w:tcMar>
              <w:top w:w="0" w:type="dxa"/>
              <w:bottom w:w="0" w:type="dxa"/>
            </w:tcMar>
            <w:vAlign w:val="center"/>
          </w:tcPr>
          <w:p w:rsidR="007210AD" w:rsidRDefault="008F3E59">
            <w:pPr>
              <w:keepNext/>
              <w:keepLines/>
              <w:spacing w:after="0" w:line="240" w:lineRule="auto"/>
              <w:jc w:val="right"/>
            </w:pPr>
            <w:r>
              <w:rPr>
                <w:sz w:val="18"/>
              </w:rPr>
              <w:t>2.090.746,37</w:t>
            </w:r>
          </w:p>
        </w:tc>
        <w:tc>
          <w:tcPr>
            <w:tcW w:w="1860" w:type="dxa"/>
            <w:tcMar>
              <w:top w:w="0" w:type="dxa"/>
              <w:bottom w:w="0" w:type="dxa"/>
            </w:tcMar>
            <w:vAlign w:val="center"/>
          </w:tcPr>
          <w:p w:rsidR="007210AD" w:rsidRDefault="008F3E59">
            <w:pPr>
              <w:keepNext/>
              <w:keepLines/>
              <w:spacing w:after="0" w:line="240" w:lineRule="auto"/>
              <w:jc w:val="right"/>
            </w:pPr>
            <w:r>
              <w:rPr>
                <w:sz w:val="18"/>
              </w:rPr>
              <w:t>2.187.536,91</w:t>
            </w:r>
          </w:p>
        </w:tc>
        <w:tc>
          <w:tcPr>
            <w:tcW w:w="700" w:type="dxa"/>
            <w:tcMar>
              <w:top w:w="0" w:type="dxa"/>
              <w:bottom w:w="0" w:type="dxa"/>
            </w:tcMar>
            <w:vAlign w:val="center"/>
          </w:tcPr>
          <w:p w:rsidR="007210AD" w:rsidRDefault="008F3E59">
            <w:pPr>
              <w:keepNext/>
              <w:keepLines/>
              <w:spacing w:after="0" w:line="240" w:lineRule="auto"/>
              <w:jc w:val="right"/>
            </w:pPr>
            <w:r>
              <w:rPr>
                <w:sz w:val="18"/>
              </w:rPr>
              <w:t>104,6</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w:t>
            </w:r>
          </w:p>
        </w:tc>
        <w:tc>
          <w:tcPr>
            <w:tcW w:w="3180" w:type="dxa"/>
            <w:tcMar>
              <w:top w:w="0" w:type="dxa"/>
              <w:bottom w:w="0" w:type="dxa"/>
            </w:tcMar>
            <w:vAlign w:val="center"/>
          </w:tcPr>
          <w:p w:rsidR="007210AD" w:rsidRDefault="008F3E59">
            <w:pPr>
              <w:keepNext/>
              <w:keepLines/>
              <w:spacing w:after="0" w:line="240" w:lineRule="auto"/>
            </w:pPr>
            <w:r>
              <w:rPr>
                <w:sz w:val="18"/>
              </w:rPr>
              <w:t>RASHODI POSLOVANJA (šifre 31+32+34+35+36+37+38)</w:t>
            </w:r>
          </w:p>
        </w:tc>
        <w:tc>
          <w:tcPr>
            <w:tcW w:w="700" w:type="dxa"/>
            <w:tcMar>
              <w:top w:w="0" w:type="dxa"/>
              <w:bottom w:w="0" w:type="dxa"/>
            </w:tcMar>
            <w:vAlign w:val="center"/>
          </w:tcPr>
          <w:p w:rsidR="007210AD" w:rsidRDefault="008F3E59">
            <w:pPr>
              <w:keepNext/>
              <w:keepLines/>
              <w:spacing w:after="0" w:line="240" w:lineRule="auto"/>
            </w:pPr>
            <w:r>
              <w:rPr>
                <w:sz w:val="18"/>
              </w:rPr>
              <w:t>3</w:t>
            </w:r>
          </w:p>
        </w:tc>
        <w:tc>
          <w:tcPr>
            <w:tcW w:w="1860" w:type="dxa"/>
            <w:tcMar>
              <w:top w:w="0" w:type="dxa"/>
              <w:bottom w:w="0" w:type="dxa"/>
            </w:tcMar>
            <w:vAlign w:val="center"/>
          </w:tcPr>
          <w:p w:rsidR="007210AD" w:rsidRDefault="008F3E59">
            <w:pPr>
              <w:keepNext/>
              <w:keepLines/>
              <w:spacing w:after="0" w:line="240" w:lineRule="auto"/>
              <w:jc w:val="right"/>
            </w:pPr>
            <w:r>
              <w:rPr>
                <w:sz w:val="18"/>
              </w:rPr>
              <w:t>2.013.158,91</w:t>
            </w:r>
          </w:p>
        </w:tc>
        <w:tc>
          <w:tcPr>
            <w:tcW w:w="1860" w:type="dxa"/>
            <w:tcMar>
              <w:top w:w="0" w:type="dxa"/>
              <w:bottom w:w="0" w:type="dxa"/>
            </w:tcMar>
            <w:vAlign w:val="center"/>
          </w:tcPr>
          <w:p w:rsidR="007210AD" w:rsidRDefault="008F3E59">
            <w:pPr>
              <w:keepNext/>
              <w:keepLines/>
              <w:spacing w:after="0" w:line="240" w:lineRule="auto"/>
              <w:jc w:val="right"/>
            </w:pPr>
            <w:r>
              <w:rPr>
                <w:sz w:val="18"/>
              </w:rPr>
              <w:t>2.313.295,79</w:t>
            </w:r>
          </w:p>
        </w:tc>
        <w:tc>
          <w:tcPr>
            <w:tcW w:w="700" w:type="dxa"/>
            <w:tcMar>
              <w:top w:w="0" w:type="dxa"/>
              <w:bottom w:w="0" w:type="dxa"/>
            </w:tcMar>
            <w:vAlign w:val="center"/>
          </w:tcPr>
          <w:p w:rsidR="007210AD" w:rsidRDefault="008F3E59">
            <w:pPr>
              <w:keepNext/>
              <w:keepLines/>
              <w:spacing w:after="0" w:line="240" w:lineRule="auto"/>
              <w:jc w:val="right"/>
            </w:pPr>
            <w:r>
              <w:rPr>
                <w:sz w:val="18"/>
              </w:rPr>
              <w:t>114,9</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b/>
                <w:sz w:val="18"/>
              </w:rPr>
              <w:t>MANJAK PRIHODA POSLOVANJA (šifre Z005-6)</w:t>
            </w:r>
          </w:p>
        </w:tc>
        <w:tc>
          <w:tcPr>
            <w:tcW w:w="700" w:type="dxa"/>
            <w:tcMar>
              <w:top w:w="0" w:type="dxa"/>
              <w:bottom w:w="0" w:type="dxa"/>
            </w:tcMar>
            <w:vAlign w:val="center"/>
          </w:tcPr>
          <w:p w:rsidR="007210AD" w:rsidRDefault="008F3E59">
            <w:pPr>
              <w:keepNext/>
              <w:keepLines/>
              <w:spacing w:after="0" w:line="240" w:lineRule="auto"/>
            </w:pPr>
            <w:r>
              <w:rPr>
                <w:b/>
                <w:sz w:val="18"/>
              </w:rPr>
              <w:t>Y001</w:t>
            </w:r>
          </w:p>
        </w:tc>
        <w:tc>
          <w:tcPr>
            <w:tcW w:w="1860" w:type="dxa"/>
            <w:tcMar>
              <w:top w:w="0" w:type="dxa"/>
              <w:bottom w:w="0" w:type="dxa"/>
            </w:tcMar>
            <w:vAlign w:val="center"/>
          </w:tcPr>
          <w:p w:rsidR="007210AD" w:rsidRDefault="008F3E59">
            <w:pPr>
              <w:keepNext/>
              <w:keepLines/>
              <w:spacing w:after="0" w:line="240" w:lineRule="auto"/>
              <w:jc w:val="right"/>
            </w:pPr>
            <w:r>
              <w:rPr>
                <w:b/>
                <w:sz w:val="18"/>
              </w:rPr>
              <w:t>0,00</w:t>
            </w:r>
          </w:p>
        </w:tc>
        <w:tc>
          <w:tcPr>
            <w:tcW w:w="1860" w:type="dxa"/>
            <w:tcMar>
              <w:top w:w="0" w:type="dxa"/>
              <w:bottom w:w="0" w:type="dxa"/>
            </w:tcMar>
            <w:vAlign w:val="center"/>
          </w:tcPr>
          <w:p w:rsidR="007210AD" w:rsidRDefault="008F3E59">
            <w:pPr>
              <w:keepNext/>
              <w:keepLines/>
              <w:spacing w:after="0" w:line="240" w:lineRule="auto"/>
              <w:jc w:val="right"/>
            </w:pPr>
            <w:r>
              <w:rPr>
                <w:b/>
                <w:sz w:val="18"/>
              </w:rPr>
              <w:t>125.758,88</w:t>
            </w:r>
          </w:p>
        </w:tc>
        <w:tc>
          <w:tcPr>
            <w:tcW w:w="700" w:type="dxa"/>
            <w:tcMar>
              <w:top w:w="0" w:type="dxa"/>
              <w:bottom w:w="0" w:type="dxa"/>
            </w:tcMar>
            <w:vAlign w:val="center"/>
          </w:tcPr>
          <w:p w:rsidR="007210AD" w:rsidRDefault="008F3E59">
            <w:pPr>
              <w:keepNext/>
              <w:keepLines/>
              <w:spacing w:after="0" w:line="240" w:lineRule="auto"/>
              <w:jc w:val="right"/>
            </w:pPr>
            <w:r>
              <w:rPr>
                <w:b/>
                <w:sz w:val="18"/>
              </w:rPr>
              <w:t>-</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7</w:t>
            </w:r>
          </w:p>
        </w:tc>
        <w:tc>
          <w:tcPr>
            <w:tcW w:w="3180" w:type="dxa"/>
            <w:tcMar>
              <w:top w:w="0" w:type="dxa"/>
              <w:bottom w:w="0" w:type="dxa"/>
            </w:tcMar>
            <w:vAlign w:val="center"/>
          </w:tcPr>
          <w:p w:rsidR="007210AD" w:rsidRDefault="008F3E5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210AD" w:rsidRDefault="008F3E59">
            <w:pPr>
              <w:keepNext/>
              <w:keepLines/>
              <w:spacing w:after="0" w:line="240" w:lineRule="auto"/>
            </w:pPr>
            <w:r>
              <w:rPr>
                <w:sz w:val="18"/>
              </w:rPr>
              <w:t>7</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4</w:t>
            </w:r>
          </w:p>
        </w:tc>
        <w:tc>
          <w:tcPr>
            <w:tcW w:w="3180" w:type="dxa"/>
            <w:tcMar>
              <w:top w:w="0" w:type="dxa"/>
              <w:bottom w:w="0" w:type="dxa"/>
            </w:tcMar>
            <w:vAlign w:val="center"/>
          </w:tcPr>
          <w:p w:rsidR="007210AD" w:rsidRDefault="008F3E5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7210AD" w:rsidRDefault="008F3E59">
            <w:pPr>
              <w:keepNext/>
              <w:keepLines/>
              <w:spacing w:after="0" w:line="240" w:lineRule="auto"/>
            </w:pPr>
            <w:r>
              <w:rPr>
                <w:sz w:val="18"/>
              </w:rPr>
              <w:t>4</w:t>
            </w:r>
          </w:p>
        </w:tc>
        <w:tc>
          <w:tcPr>
            <w:tcW w:w="1860" w:type="dxa"/>
            <w:tcMar>
              <w:top w:w="0" w:type="dxa"/>
              <w:bottom w:w="0" w:type="dxa"/>
            </w:tcMar>
            <w:vAlign w:val="center"/>
          </w:tcPr>
          <w:p w:rsidR="007210AD" w:rsidRDefault="008F3E59">
            <w:pPr>
              <w:keepNext/>
              <w:keepLines/>
              <w:spacing w:after="0" w:line="240" w:lineRule="auto"/>
              <w:jc w:val="right"/>
            </w:pPr>
            <w:r>
              <w:rPr>
                <w:sz w:val="18"/>
              </w:rPr>
              <w:t>12.654,24</w:t>
            </w:r>
          </w:p>
        </w:tc>
        <w:tc>
          <w:tcPr>
            <w:tcW w:w="1860" w:type="dxa"/>
            <w:tcMar>
              <w:top w:w="0" w:type="dxa"/>
              <w:bottom w:w="0" w:type="dxa"/>
            </w:tcMar>
            <w:vAlign w:val="center"/>
          </w:tcPr>
          <w:p w:rsidR="007210AD" w:rsidRDefault="008F3E59">
            <w:pPr>
              <w:keepNext/>
              <w:keepLines/>
              <w:spacing w:after="0" w:line="240" w:lineRule="auto"/>
              <w:jc w:val="right"/>
            </w:pPr>
            <w:r>
              <w:rPr>
                <w:sz w:val="18"/>
              </w:rPr>
              <w:t>19.296,74</w:t>
            </w:r>
          </w:p>
        </w:tc>
        <w:tc>
          <w:tcPr>
            <w:tcW w:w="700" w:type="dxa"/>
            <w:tcMar>
              <w:top w:w="0" w:type="dxa"/>
              <w:bottom w:w="0" w:type="dxa"/>
            </w:tcMar>
            <w:vAlign w:val="center"/>
          </w:tcPr>
          <w:p w:rsidR="007210AD" w:rsidRDefault="008F3E59">
            <w:pPr>
              <w:keepNext/>
              <w:keepLines/>
              <w:spacing w:after="0" w:line="240" w:lineRule="auto"/>
              <w:jc w:val="right"/>
            </w:pPr>
            <w:r>
              <w:rPr>
                <w:sz w:val="18"/>
              </w:rPr>
              <w:t>152,5</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210AD" w:rsidRDefault="008F3E59">
            <w:pPr>
              <w:keepNext/>
              <w:keepLines/>
              <w:spacing w:after="0" w:line="240" w:lineRule="auto"/>
            </w:pPr>
            <w:r>
              <w:rPr>
                <w:b/>
                <w:sz w:val="18"/>
              </w:rPr>
              <w:t>Y002</w:t>
            </w:r>
          </w:p>
        </w:tc>
        <w:tc>
          <w:tcPr>
            <w:tcW w:w="1860" w:type="dxa"/>
            <w:tcMar>
              <w:top w:w="0" w:type="dxa"/>
              <w:bottom w:w="0" w:type="dxa"/>
            </w:tcMar>
            <w:vAlign w:val="center"/>
          </w:tcPr>
          <w:p w:rsidR="007210AD" w:rsidRDefault="008F3E59">
            <w:pPr>
              <w:keepNext/>
              <w:keepLines/>
              <w:spacing w:after="0" w:line="240" w:lineRule="auto"/>
              <w:jc w:val="right"/>
            </w:pPr>
            <w:r>
              <w:rPr>
                <w:b/>
                <w:sz w:val="18"/>
              </w:rPr>
              <w:t>12.654,24</w:t>
            </w:r>
          </w:p>
        </w:tc>
        <w:tc>
          <w:tcPr>
            <w:tcW w:w="1860" w:type="dxa"/>
            <w:tcMar>
              <w:top w:w="0" w:type="dxa"/>
              <w:bottom w:w="0" w:type="dxa"/>
            </w:tcMar>
            <w:vAlign w:val="center"/>
          </w:tcPr>
          <w:p w:rsidR="007210AD" w:rsidRDefault="008F3E59">
            <w:pPr>
              <w:keepNext/>
              <w:keepLines/>
              <w:spacing w:after="0" w:line="240" w:lineRule="auto"/>
              <w:jc w:val="right"/>
            </w:pPr>
            <w:r>
              <w:rPr>
                <w:b/>
                <w:sz w:val="18"/>
              </w:rPr>
              <w:t>19.296,74</w:t>
            </w:r>
          </w:p>
        </w:tc>
        <w:tc>
          <w:tcPr>
            <w:tcW w:w="700" w:type="dxa"/>
            <w:tcMar>
              <w:top w:w="0" w:type="dxa"/>
              <w:bottom w:w="0" w:type="dxa"/>
            </w:tcMar>
            <w:vAlign w:val="center"/>
          </w:tcPr>
          <w:p w:rsidR="007210AD" w:rsidRDefault="008F3E59">
            <w:pPr>
              <w:keepNext/>
              <w:keepLines/>
              <w:spacing w:after="0" w:line="240" w:lineRule="auto"/>
              <w:jc w:val="right"/>
            </w:pPr>
            <w:r>
              <w:rPr>
                <w:b/>
                <w:sz w:val="18"/>
              </w:rPr>
              <w:t>152,5</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8</w:t>
            </w:r>
          </w:p>
        </w:tc>
        <w:tc>
          <w:tcPr>
            <w:tcW w:w="3180" w:type="dxa"/>
            <w:tcMar>
              <w:top w:w="0" w:type="dxa"/>
              <w:bottom w:w="0" w:type="dxa"/>
            </w:tcMar>
            <w:vAlign w:val="center"/>
          </w:tcPr>
          <w:p w:rsidR="007210AD" w:rsidRDefault="008F3E5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210AD" w:rsidRDefault="008F3E59">
            <w:pPr>
              <w:keepNext/>
              <w:keepLines/>
              <w:spacing w:after="0" w:line="240" w:lineRule="auto"/>
            </w:pPr>
            <w:r>
              <w:rPr>
                <w:sz w:val="18"/>
              </w:rPr>
              <w:t>8</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5</w:t>
            </w:r>
          </w:p>
        </w:tc>
        <w:tc>
          <w:tcPr>
            <w:tcW w:w="3180" w:type="dxa"/>
            <w:tcMar>
              <w:top w:w="0" w:type="dxa"/>
              <w:bottom w:w="0" w:type="dxa"/>
            </w:tcMar>
            <w:vAlign w:val="center"/>
          </w:tcPr>
          <w:p w:rsidR="007210AD" w:rsidRDefault="008F3E5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7210AD" w:rsidRDefault="008F3E59">
            <w:pPr>
              <w:keepNext/>
              <w:keepLines/>
              <w:spacing w:after="0" w:line="240" w:lineRule="auto"/>
            </w:pPr>
            <w:r>
              <w:rPr>
                <w:sz w:val="18"/>
              </w:rPr>
              <w:t>5</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7210AD" w:rsidRDefault="008F3E59">
            <w:pPr>
              <w:keepNext/>
              <w:keepLines/>
              <w:spacing w:after="0" w:line="240" w:lineRule="auto"/>
            </w:pPr>
            <w:r>
              <w:rPr>
                <w:b/>
                <w:sz w:val="18"/>
              </w:rPr>
              <w:t>X003, Y003</w:t>
            </w:r>
          </w:p>
        </w:tc>
        <w:tc>
          <w:tcPr>
            <w:tcW w:w="1860" w:type="dxa"/>
            <w:tcMar>
              <w:top w:w="0" w:type="dxa"/>
              <w:bottom w:w="0" w:type="dxa"/>
            </w:tcMar>
            <w:vAlign w:val="center"/>
          </w:tcPr>
          <w:p w:rsidR="007210AD" w:rsidRDefault="008F3E59">
            <w:pPr>
              <w:keepNext/>
              <w:keepLines/>
              <w:spacing w:after="0" w:line="240" w:lineRule="auto"/>
              <w:jc w:val="right"/>
            </w:pPr>
            <w:r>
              <w:rPr>
                <w:b/>
                <w:sz w:val="18"/>
              </w:rPr>
              <w:t>0,00</w:t>
            </w:r>
          </w:p>
        </w:tc>
        <w:tc>
          <w:tcPr>
            <w:tcW w:w="1860" w:type="dxa"/>
            <w:tcMar>
              <w:top w:w="0" w:type="dxa"/>
              <w:bottom w:w="0" w:type="dxa"/>
            </w:tcMar>
            <w:vAlign w:val="center"/>
          </w:tcPr>
          <w:p w:rsidR="007210AD" w:rsidRDefault="008F3E59">
            <w:pPr>
              <w:keepNext/>
              <w:keepLines/>
              <w:spacing w:after="0" w:line="240" w:lineRule="auto"/>
              <w:jc w:val="right"/>
            </w:pPr>
            <w:r>
              <w:rPr>
                <w:b/>
                <w:sz w:val="18"/>
              </w:rPr>
              <w:t>0,00</w:t>
            </w:r>
          </w:p>
        </w:tc>
        <w:tc>
          <w:tcPr>
            <w:tcW w:w="700" w:type="dxa"/>
            <w:tcMar>
              <w:top w:w="0" w:type="dxa"/>
              <w:bottom w:w="0" w:type="dxa"/>
            </w:tcMar>
            <w:vAlign w:val="center"/>
          </w:tcPr>
          <w:p w:rsidR="007210AD" w:rsidRDefault="008F3E59">
            <w:pPr>
              <w:keepNext/>
              <w:keepLines/>
              <w:spacing w:after="0" w:line="240" w:lineRule="auto"/>
              <w:jc w:val="right"/>
            </w:pPr>
            <w:r>
              <w:rPr>
                <w:b/>
                <w:sz w:val="18"/>
              </w:rPr>
              <w:t>-</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b/>
                <w:sz w:val="18"/>
              </w:rPr>
              <w:t>MANJAK PRIHODA I PRIMITAKA (šifre Y345-X678)</w:t>
            </w:r>
          </w:p>
        </w:tc>
        <w:tc>
          <w:tcPr>
            <w:tcW w:w="700" w:type="dxa"/>
            <w:tcMar>
              <w:top w:w="0" w:type="dxa"/>
              <w:bottom w:w="0" w:type="dxa"/>
            </w:tcMar>
            <w:vAlign w:val="center"/>
          </w:tcPr>
          <w:p w:rsidR="007210AD" w:rsidRDefault="008F3E59">
            <w:pPr>
              <w:keepNext/>
              <w:keepLines/>
              <w:spacing w:after="0" w:line="240" w:lineRule="auto"/>
            </w:pPr>
            <w:r>
              <w:rPr>
                <w:b/>
                <w:sz w:val="18"/>
              </w:rPr>
              <w:t>Y005</w:t>
            </w:r>
          </w:p>
        </w:tc>
        <w:tc>
          <w:tcPr>
            <w:tcW w:w="1860" w:type="dxa"/>
            <w:tcMar>
              <w:top w:w="0" w:type="dxa"/>
              <w:bottom w:w="0" w:type="dxa"/>
            </w:tcMar>
            <w:vAlign w:val="center"/>
          </w:tcPr>
          <w:p w:rsidR="007210AD" w:rsidRDefault="008F3E59">
            <w:pPr>
              <w:keepNext/>
              <w:keepLines/>
              <w:spacing w:after="0" w:line="240" w:lineRule="auto"/>
              <w:jc w:val="right"/>
            </w:pPr>
            <w:r>
              <w:rPr>
                <w:b/>
                <w:sz w:val="18"/>
              </w:rPr>
              <w:t>0,00</w:t>
            </w:r>
          </w:p>
        </w:tc>
        <w:tc>
          <w:tcPr>
            <w:tcW w:w="1860" w:type="dxa"/>
            <w:tcMar>
              <w:top w:w="0" w:type="dxa"/>
              <w:bottom w:w="0" w:type="dxa"/>
            </w:tcMar>
            <w:vAlign w:val="center"/>
          </w:tcPr>
          <w:p w:rsidR="007210AD" w:rsidRDefault="008F3E59">
            <w:pPr>
              <w:keepNext/>
              <w:keepLines/>
              <w:spacing w:after="0" w:line="240" w:lineRule="auto"/>
              <w:jc w:val="right"/>
            </w:pPr>
            <w:r>
              <w:rPr>
                <w:b/>
                <w:sz w:val="18"/>
              </w:rPr>
              <w:t>145.055,62</w:t>
            </w:r>
          </w:p>
        </w:tc>
        <w:tc>
          <w:tcPr>
            <w:tcW w:w="700" w:type="dxa"/>
            <w:tcMar>
              <w:top w:w="0" w:type="dxa"/>
              <w:bottom w:w="0" w:type="dxa"/>
            </w:tcMar>
            <w:vAlign w:val="center"/>
          </w:tcPr>
          <w:p w:rsidR="007210AD" w:rsidRDefault="008F3E59">
            <w:pPr>
              <w:keepNext/>
              <w:keepLines/>
              <w:spacing w:after="0" w:line="240" w:lineRule="auto"/>
              <w:jc w:val="right"/>
            </w:pPr>
            <w:r>
              <w:rPr>
                <w:b/>
                <w:sz w:val="18"/>
              </w:rPr>
              <w:t>-</w:t>
            </w:r>
          </w:p>
        </w:tc>
      </w:tr>
    </w:tbl>
    <w:p w:rsidR="007210AD" w:rsidRDefault="007210AD">
      <w:pPr>
        <w:spacing w:after="0"/>
      </w:pPr>
    </w:p>
    <w:p w:rsidR="007210AD" w:rsidRDefault="008F3E59">
      <w:r>
        <w:t>Osnovna škola Josipa Kozarca je javna ustanova sa sjedištem u Semeljcima, Školska 21. Proračunski je korisnik proračuna JLP(R)S i to Osječko-baranjske županije. Djelatnost škole obuhvaća osnovnoškolsko obrazovanje i odgoj učenika od 1. do 8. razreda. Posluje u skladu sa Zakonom o odgoju i obrazovanju u osnovnoj i srednjoj školi (NN br. 87/08, 86/09, 92/10, 90/11, 5/12, 16/12, 86/12, 126/12, 94/13, 152/14, 07/17, 68/18, 98/19, 64/20, 151/22, 155/23 i 156/23) te Statutom škole.</w:t>
      </w:r>
    </w:p>
    <w:p w:rsidR="007210AD" w:rsidRDefault="008F3E59">
      <w:r>
        <w:lastRenderedPageBreak/>
        <w:t>U matičnoj školi u Semeljcima nastava je organizirana u prijepodnevnoj smjeni u petodnevnom radnom tjednu s neradnom subotom.</w:t>
      </w:r>
    </w:p>
    <w:p w:rsidR="007210AD" w:rsidRDefault="008F3E59">
      <w:r>
        <w:t>Jednako tako je organizirana i u područnim školama u Koritni i Forkuševcima. Od 01.09.2025. godine područna škola u Vučevcima zatvorena je na godinu dana, a djeca su prebačena u područnu školu Forkuševci.</w:t>
      </w:r>
    </w:p>
    <w:p w:rsidR="007210AD" w:rsidRDefault="008F3E59">
      <w:r>
        <w:t>U područnim školama u Mrzoviću, Vrbici i Kešincima nastava je organizirana u prijepodnevnoj i poslijepodnevnoj smjeni, u petodnevnom radnom tjednu s neradnom subotom.  </w:t>
      </w:r>
    </w:p>
    <w:p w:rsidR="007210AD" w:rsidRDefault="008F3E59">
      <w:r>
        <w:t>Financijski izvještaj  Osnovne škole Josipa Kozarca sastavljen je nakon što su proknjižene sve poslovne promjene, događaji i transakcije za razdoblje siječanj – prosinac 2025. godine. Izvještaj je sastavljen i predaje se prema odredbama Pravilnika o financijskom izvještavanju u proračunskom računovodstvu (Narodne novine br. 03/15, 93/15, 135/15, 2/17, 28/17, 112/18, 126/19, 145/20, 32/21, 37/22 i 52/25) u zakonom određenim rokovima što za proračunske korisnike jedinica lokalne i područne samouprave znači predaju do 2. veljače 2026. godine.  Za sastavljanje i predaju financijskog izvještaja korišteni su elektronski obrasci koji su preuzeti iz aplikacije RKPFI. Osoba odgovorna za sastavljanje financijskih izvještaja je voditelj računovodstva Tihomir Paradžiković, a odgovorna osoba za predaju financijskih izvještaja je ravnateljica Ružica Primorac.    </w:t>
      </w:r>
    </w:p>
    <w:p w:rsidR="007210AD" w:rsidRDefault="008F3E59">
      <w:r>
        <w:t> U razdoblju od 1. siječnja do 31. prosinca 2025. godine prihodi poslovanja ostvareni su u iznosu od 2.187.536,91 eura. Najznačajnije povećanje prihoda poslovanja ostvareno je od tekućih pomoći proračunskim korisnicima iz proračuna koji im nije nadležan. Najznačajnije smanjenje prihoda poslovanja bilježi se na prihodima od pomoći temeljem prijenosa EU sredstava uslijed završetka EU projekata. Rashodi poslovanja u razdoblju od 1. siječnja do 31. prosinca ostvareni su u iznosu od 2.313.295,79 eura. Najznačajnije povećanje rashoda poslovanja evidentirano je na rashodima za zaposlene uslijed povećanja plaća. Najznačajnije smanjenje rashoda poslovanja bilježi se na rashodima za pomoći dane u inozemstvo i unutar općeg proračuna uslijed završetka EU projekata.</w:t>
      </w:r>
    </w:p>
    <w:p w:rsidR="007210AD" w:rsidRDefault="008F3E59">
      <w:r>
        <w:t>U navedenom razdoblju nema ostvarenih prihoda od prodaje nefinancijske imovine, dok su rashodi za nabavu nefinancijske imovine ostvareni u iznosu od 19.296,74 eura. Navedeni rashodi odnose se na nabavu udžbenika, poličnog regala za arhivu, klima uređaja, traktorske kosilice, samohodnih kosilica, konvekcijske pećnice za potrebe kuhinje te računalne opreme.</w:t>
      </w:r>
    </w:p>
    <w:p w:rsidR="007210AD" w:rsidRDefault="008F3E59">
      <w:r>
        <w:t>U razdoblju od 1. siječnja do 31. prosinca 2025. godine nije bilo ostvarenih primitaka i izdataka od financijske imovine i zaduživanja.</w:t>
      </w:r>
    </w:p>
    <w:p w:rsidR="007210AD" w:rsidRDefault="008F3E59">
      <w:r>
        <w:t>U navedenom razdoblju ostvaren je manjak prihoda poslovanja u iznosu od 125.758,88 eura. Na ostvareni manjak utjecala je promjena načina knjiženja plaća tako da se plaće više ne knjiže na kontinuirane rashode budućih razdoblja, pa se plaća za prosinac knjižila kao trošak za prosinac 2025. godine, a ne kao trošak za siječanj 2026. godine. </w:t>
      </w:r>
    </w:p>
    <w:p w:rsidR="007210AD" w:rsidRDefault="008F3E59">
      <w:r>
        <w:t>Ostvaren je i manjak prihoda od nefinancijske imovine u iznosu od 19.296,74 eura. Manjak prihoda od nefinancijske imovine nastao je zbog toga što su prihodi za nabavu osnovnih sredstava dobiveni kao kapitalna sredstva klasificirana kao prihodi redovnog poslovanja. Za tako dobivene prihode provodi se obvezna korekcija financijskog rezultata.</w:t>
      </w:r>
    </w:p>
    <w:p w:rsidR="007210AD" w:rsidRDefault="008F3E59">
      <w:r>
        <w:lastRenderedPageBreak/>
        <w:t>Slijedom navedenog na kraju izvještajnog razdoblja ostvaren je ukupan manjak prihoda i primitaka u iznosu od 145.055,62. eura.  </w:t>
      </w:r>
    </w:p>
    <w:p w:rsidR="007210AD" w:rsidRDefault="008F3E59">
      <w:r>
        <w:t>U ovom izvještajnom razdoblju nemamo sudskih sporova u tijeku niti ugovornih odnosa koji mogu postati imovina ili obveza.</w:t>
      </w:r>
    </w:p>
    <w:p w:rsidR="007210AD" w:rsidRDefault="008F3E59">
      <w:r>
        <w:br/>
      </w:r>
    </w:p>
    <w:p w:rsidR="007210AD" w:rsidRDefault="008F3E5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6361</w:t>
            </w:r>
          </w:p>
        </w:tc>
        <w:tc>
          <w:tcPr>
            <w:tcW w:w="3180" w:type="dxa"/>
            <w:tcMar>
              <w:top w:w="0" w:type="dxa"/>
              <w:bottom w:w="0" w:type="dxa"/>
            </w:tcMar>
            <w:vAlign w:val="center"/>
          </w:tcPr>
          <w:p w:rsidR="007210AD" w:rsidRDefault="008F3E59">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7210AD" w:rsidRDefault="008F3E59">
            <w:pPr>
              <w:keepNext/>
              <w:keepLines/>
              <w:spacing w:after="0" w:line="240" w:lineRule="auto"/>
            </w:pPr>
            <w:r>
              <w:rPr>
                <w:sz w:val="18"/>
              </w:rPr>
              <w:t>6361</w:t>
            </w:r>
          </w:p>
        </w:tc>
        <w:tc>
          <w:tcPr>
            <w:tcW w:w="1860" w:type="dxa"/>
            <w:tcMar>
              <w:top w:w="0" w:type="dxa"/>
              <w:bottom w:w="0" w:type="dxa"/>
            </w:tcMar>
            <w:vAlign w:val="center"/>
          </w:tcPr>
          <w:p w:rsidR="007210AD" w:rsidRDefault="008F3E59">
            <w:pPr>
              <w:keepNext/>
              <w:keepLines/>
              <w:spacing w:after="0" w:line="240" w:lineRule="auto"/>
              <w:jc w:val="right"/>
            </w:pPr>
            <w:r>
              <w:rPr>
                <w:sz w:val="18"/>
              </w:rPr>
              <w:t>1.890.595,71</w:t>
            </w:r>
          </w:p>
        </w:tc>
        <w:tc>
          <w:tcPr>
            <w:tcW w:w="1860" w:type="dxa"/>
            <w:tcMar>
              <w:top w:w="0" w:type="dxa"/>
              <w:bottom w:w="0" w:type="dxa"/>
            </w:tcMar>
            <w:vAlign w:val="center"/>
          </w:tcPr>
          <w:p w:rsidR="007210AD" w:rsidRDefault="008F3E59">
            <w:pPr>
              <w:keepNext/>
              <w:keepLines/>
              <w:spacing w:after="0" w:line="240" w:lineRule="auto"/>
              <w:jc w:val="right"/>
            </w:pPr>
            <w:r>
              <w:rPr>
                <w:sz w:val="18"/>
              </w:rPr>
              <w:t>2.053.023,83</w:t>
            </w:r>
          </w:p>
        </w:tc>
        <w:tc>
          <w:tcPr>
            <w:tcW w:w="700" w:type="dxa"/>
            <w:tcMar>
              <w:top w:w="0" w:type="dxa"/>
              <w:bottom w:w="0" w:type="dxa"/>
            </w:tcMar>
            <w:vAlign w:val="center"/>
          </w:tcPr>
          <w:p w:rsidR="007210AD" w:rsidRDefault="008F3E59">
            <w:pPr>
              <w:keepNext/>
              <w:keepLines/>
              <w:spacing w:after="0" w:line="240" w:lineRule="auto"/>
              <w:jc w:val="right"/>
            </w:pPr>
            <w:r>
              <w:rPr>
                <w:sz w:val="18"/>
              </w:rPr>
              <w:t>108,6</w:t>
            </w:r>
          </w:p>
        </w:tc>
      </w:tr>
    </w:tbl>
    <w:p w:rsidR="007210AD" w:rsidRDefault="007210AD">
      <w:pPr>
        <w:spacing w:after="0"/>
      </w:pPr>
    </w:p>
    <w:p w:rsidR="007210AD" w:rsidRDefault="008F3E59">
      <w:r>
        <w:t>Tekuće pomoći proračunskim korisnicima iz proračuna koji im nije nadležan ostvarene su u iznosu od 2.053.023,83 eura, odnosno 8,6% više nego u istom razdoblju prethodnog izvještajnog razdoblja.  Sredstva su dobivena od Ministarstvo znanosti, obrazovanja i mladih – plaće i druga materijalna prava,  sredstva za nabavu radnih udžbenika (nabavljeni u 2024. i 2025. godini, a sredstva dobili u 2025. godini), sredstva za sufinanciranje prehrane učenika, sredstva za nabavu psihodijagnostičkih sredstava, sredstva za higijenske menstrualne potrepštine, sredstva za provođenje projekata "Kroz emocije do razumijevanja i prijateljstva" i "Kreativnost učenika u glazbenom i likovnom izražavanju" te od općine Semeljci za sufinanciranje Škole u prirodi, školski sportski klub, tisak godišnjaka "Semeljački Kozarac" i nabavu radnih bilježnica i likovnih mapa za učenike.  Na povećanje prihoda najvećim dijelom utjecalo je povećanje osnovice za obračun plaća u državnim i javnim službama, te minuli rad djelatnika.</w:t>
      </w:r>
    </w:p>
    <w:p w:rsidR="007210AD" w:rsidRDefault="007210AD"/>
    <w:p w:rsidR="007210AD" w:rsidRDefault="008F3E5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6362</w:t>
            </w:r>
          </w:p>
        </w:tc>
        <w:tc>
          <w:tcPr>
            <w:tcW w:w="3180" w:type="dxa"/>
            <w:tcMar>
              <w:top w:w="0" w:type="dxa"/>
              <w:bottom w:w="0" w:type="dxa"/>
            </w:tcMar>
            <w:vAlign w:val="center"/>
          </w:tcPr>
          <w:p w:rsidR="007210AD" w:rsidRDefault="008F3E59">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7210AD" w:rsidRDefault="008F3E59">
            <w:pPr>
              <w:keepNext/>
              <w:keepLines/>
              <w:spacing w:after="0" w:line="240" w:lineRule="auto"/>
            </w:pPr>
            <w:r>
              <w:rPr>
                <w:sz w:val="18"/>
              </w:rPr>
              <w:t>6362</w:t>
            </w:r>
          </w:p>
        </w:tc>
        <w:tc>
          <w:tcPr>
            <w:tcW w:w="1860" w:type="dxa"/>
            <w:tcMar>
              <w:top w:w="0" w:type="dxa"/>
              <w:bottom w:w="0" w:type="dxa"/>
            </w:tcMar>
            <w:vAlign w:val="center"/>
          </w:tcPr>
          <w:p w:rsidR="007210AD" w:rsidRDefault="008F3E59">
            <w:pPr>
              <w:keepNext/>
              <w:keepLines/>
              <w:spacing w:after="0" w:line="240" w:lineRule="auto"/>
              <w:jc w:val="right"/>
            </w:pPr>
            <w:r>
              <w:rPr>
                <w:sz w:val="18"/>
              </w:rPr>
              <w:t>1.539,16</w:t>
            </w:r>
          </w:p>
        </w:tc>
        <w:tc>
          <w:tcPr>
            <w:tcW w:w="1860" w:type="dxa"/>
            <w:tcMar>
              <w:top w:w="0" w:type="dxa"/>
              <w:bottom w:w="0" w:type="dxa"/>
            </w:tcMar>
            <w:vAlign w:val="center"/>
          </w:tcPr>
          <w:p w:rsidR="007210AD" w:rsidRDefault="008F3E59">
            <w:pPr>
              <w:keepNext/>
              <w:keepLines/>
              <w:spacing w:after="0" w:line="240" w:lineRule="auto"/>
              <w:jc w:val="right"/>
            </w:pPr>
            <w:r>
              <w:rPr>
                <w:sz w:val="18"/>
              </w:rPr>
              <w:t>9.773,10</w:t>
            </w:r>
          </w:p>
        </w:tc>
        <w:tc>
          <w:tcPr>
            <w:tcW w:w="700" w:type="dxa"/>
            <w:tcMar>
              <w:top w:w="0" w:type="dxa"/>
              <w:bottom w:w="0" w:type="dxa"/>
            </w:tcMar>
            <w:vAlign w:val="center"/>
          </w:tcPr>
          <w:p w:rsidR="007210AD" w:rsidRDefault="008F3E59">
            <w:pPr>
              <w:keepNext/>
              <w:keepLines/>
              <w:spacing w:after="0" w:line="240" w:lineRule="auto"/>
              <w:jc w:val="right"/>
            </w:pPr>
            <w:r>
              <w:rPr>
                <w:sz w:val="18"/>
              </w:rPr>
              <w:t>635,0</w:t>
            </w:r>
          </w:p>
        </w:tc>
      </w:tr>
    </w:tbl>
    <w:p w:rsidR="007210AD" w:rsidRDefault="007210AD">
      <w:pPr>
        <w:spacing w:after="0"/>
      </w:pPr>
    </w:p>
    <w:p w:rsidR="007210AD" w:rsidRDefault="008F3E59">
      <w:r>
        <w:t>Kapitalne pomoći proračunskim korisnicima iz proračuna koji im nije nadležan ostvarene su u iznosu od 9.773,10 eura, odnosno 635% više nego u istom razdoblju prethodnog izvještajnog razdoblja.  Razlog povećanih prihoda je taj što smo za nabavljene udžbenike u 2024. godini sredstva dobili u 2025. godini i povećana potreba za nabavom udžbenika za učenike u ovoj godini.</w:t>
      </w:r>
    </w:p>
    <w:p w:rsidR="007210AD" w:rsidRDefault="007210AD"/>
    <w:p w:rsidR="007210AD" w:rsidRDefault="008F3E59">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638</w:t>
            </w:r>
          </w:p>
        </w:tc>
        <w:tc>
          <w:tcPr>
            <w:tcW w:w="3180" w:type="dxa"/>
            <w:tcMar>
              <w:top w:w="0" w:type="dxa"/>
              <w:bottom w:w="0" w:type="dxa"/>
            </w:tcMar>
            <w:vAlign w:val="center"/>
          </w:tcPr>
          <w:p w:rsidR="007210AD" w:rsidRDefault="008F3E59">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7210AD" w:rsidRDefault="008F3E59">
            <w:pPr>
              <w:keepNext/>
              <w:keepLines/>
              <w:spacing w:after="0" w:line="240" w:lineRule="auto"/>
            </w:pPr>
            <w:r>
              <w:rPr>
                <w:sz w:val="18"/>
              </w:rPr>
              <w:t>638</w:t>
            </w:r>
          </w:p>
        </w:tc>
        <w:tc>
          <w:tcPr>
            <w:tcW w:w="1860" w:type="dxa"/>
            <w:tcMar>
              <w:top w:w="0" w:type="dxa"/>
              <w:bottom w:w="0" w:type="dxa"/>
            </w:tcMar>
            <w:vAlign w:val="center"/>
          </w:tcPr>
          <w:p w:rsidR="007210AD" w:rsidRDefault="008F3E59">
            <w:pPr>
              <w:keepNext/>
              <w:keepLines/>
              <w:spacing w:after="0" w:line="240" w:lineRule="auto"/>
              <w:jc w:val="right"/>
            </w:pPr>
            <w:r>
              <w:rPr>
                <w:sz w:val="18"/>
              </w:rPr>
              <w:t>75.753,46</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t>Pomoći temeljem prijenosa EU sredstava iznose 0,00 eura.  U istom izvještajnom razdoblju prethodne godine dobili smo sredstva od Ministarstva regionalnog razvoja i fondova Europske unije koja su završna isplata nakon usvajanja završnog izvješća projekta STEM-moje obrazovanje te sredstva od Agencije za mobilnost i programe EU koja su završna isplata nakon usvajanja završnog izvješća projekta Erasmus+. U ovom izvještajnom razdoblju nemamo EU projekata.</w:t>
      </w:r>
    </w:p>
    <w:p w:rsidR="007210AD" w:rsidRDefault="007210AD"/>
    <w:p w:rsidR="007210AD" w:rsidRDefault="008F3E5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6526</w:t>
            </w:r>
          </w:p>
        </w:tc>
        <w:tc>
          <w:tcPr>
            <w:tcW w:w="3180" w:type="dxa"/>
            <w:tcMar>
              <w:top w:w="0" w:type="dxa"/>
              <w:bottom w:w="0" w:type="dxa"/>
            </w:tcMar>
            <w:vAlign w:val="center"/>
          </w:tcPr>
          <w:p w:rsidR="007210AD" w:rsidRDefault="008F3E59">
            <w:pPr>
              <w:keepNext/>
              <w:keepLines/>
              <w:spacing w:after="0" w:line="240" w:lineRule="auto"/>
            </w:pPr>
            <w:r>
              <w:rPr>
                <w:sz w:val="18"/>
              </w:rPr>
              <w:t>Ostali nespomenuti prihodi</w:t>
            </w:r>
          </w:p>
        </w:tc>
        <w:tc>
          <w:tcPr>
            <w:tcW w:w="700" w:type="dxa"/>
            <w:tcMar>
              <w:top w:w="0" w:type="dxa"/>
              <w:bottom w:w="0" w:type="dxa"/>
            </w:tcMar>
            <w:vAlign w:val="center"/>
          </w:tcPr>
          <w:p w:rsidR="007210AD" w:rsidRDefault="008F3E59">
            <w:pPr>
              <w:keepNext/>
              <w:keepLines/>
              <w:spacing w:after="0" w:line="240" w:lineRule="auto"/>
            </w:pPr>
            <w:r>
              <w:rPr>
                <w:sz w:val="18"/>
              </w:rPr>
              <w:t>6526</w:t>
            </w:r>
          </w:p>
        </w:tc>
        <w:tc>
          <w:tcPr>
            <w:tcW w:w="1860" w:type="dxa"/>
            <w:tcMar>
              <w:top w:w="0" w:type="dxa"/>
              <w:bottom w:w="0" w:type="dxa"/>
            </w:tcMar>
            <w:vAlign w:val="center"/>
          </w:tcPr>
          <w:p w:rsidR="007210AD" w:rsidRDefault="008F3E59">
            <w:pPr>
              <w:keepNext/>
              <w:keepLines/>
              <w:spacing w:after="0" w:line="240" w:lineRule="auto"/>
              <w:jc w:val="right"/>
            </w:pPr>
            <w:r>
              <w:rPr>
                <w:sz w:val="18"/>
              </w:rPr>
              <w:t>820,30</w:t>
            </w:r>
          </w:p>
        </w:tc>
        <w:tc>
          <w:tcPr>
            <w:tcW w:w="1860" w:type="dxa"/>
            <w:tcMar>
              <w:top w:w="0" w:type="dxa"/>
              <w:bottom w:w="0" w:type="dxa"/>
            </w:tcMar>
            <w:vAlign w:val="center"/>
          </w:tcPr>
          <w:p w:rsidR="007210AD" w:rsidRDefault="008F3E59">
            <w:pPr>
              <w:keepNext/>
              <w:keepLines/>
              <w:spacing w:after="0" w:line="240" w:lineRule="auto"/>
              <w:jc w:val="right"/>
            </w:pPr>
            <w:r>
              <w:rPr>
                <w:sz w:val="18"/>
              </w:rPr>
              <w:t>3.811,94</w:t>
            </w:r>
          </w:p>
        </w:tc>
        <w:tc>
          <w:tcPr>
            <w:tcW w:w="700" w:type="dxa"/>
            <w:tcMar>
              <w:top w:w="0" w:type="dxa"/>
              <w:bottom w:w="0" w:type="dxa"/>
            </w:tcMar>
            <w:vAlign w:val="center"/>
          </w:tcPr>
          <w:p w:rsidR="007210AD" w:rsidRDefault="008F3E59">
            <w:pPr>
              <w:keepNext/>
              <w:keepLines/>
              <w:spacing w:after="0" w:line="240" w:lineRule="auto"/>
              <w:jc w:val="right"/>
            </w:pPr>
            <w:r>
              <w:rPr>
                <w:sz w:val="18"/>
              </w:rPr>
              <w:t>464,7</w:t>
            </w:r>
          </w:p>
        </w:tc>
      </w:tr>
    </w:tbl>
    <w:p w:rsidR="007210AD" w:rsidRDefault="007210AD">
      <w:pPr>
        <w:spacing w:after="0"/>
      </w:pPr>
    </w:p>
    <w:p w:rsidR="007210AD" w:rsidRDefault="008F3E59">
      <w:r>
        <w:t>Ostali nespomenuti prihodi ostvareni su u iznosu od 3.811,94 eura, odnosno 464,7% više nego u istom razdoblju prethodnog izvještajnog razdoblja.  Prihodi su povećani prvenstveno zbog povećanog opsega terenske nastave te zbog refundacije Hep-a za trošak izrade elaborata procjene vrijednosti nekretnine.</w:t>
      </w:r>
    </w:p>
    <w:p w:rsidR="007210AD" w:rsidRDefault="007210AD"/>
    <w:p w:rsidR="007210AD" w:rsidRDefault="008F3E5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663</w:t>
            </w:r>
          </w:p>
        </w:tc>
        <w:tc>
          <w:tcPr>
            <w:tcW w:w="3180" w:type="dxa"/>
            <w:tcMar>
              <w:top w:w="0" w:type="dxa"/>
              <w:bottom w:w="0" w:type="dxa"/>
            </w:tcMar>
            <w:vAlign w:val="center"/>
          </w:tcPr>
          <w:p w:rsidR="007210AD" w:rsidRDefault="008F3E59">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7210AD" w:rsidRDefault="008F3E59">
            <w:pPr>
              <w:keepNext/>
              <w:keepLines/>
              <w:spacing w:after="0" w:line="240" w:lineRule="auto"/>
            </w:pPr>
            <w:r>
              <w:rPr>
                <w:sz w:val="18"/>
              </w:rPr>
              <w:t>663</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1860" w:type="dxa"/>
            <w:tcMar>
              <w:top w:w="0" w:type="dxa"/>
              <w:bottom w:w="0" w:type="dxa"/>
            </w:tcMar>
            <w:vAlign w:val="center"/>
          </w:tcPr>
          <w:p w:rsidR="007210AD" w:rsidRDefault="008F3E59">
            <w:pPr>
              <w:keepNext/>
              <w:keepLines/>
              <w:spacing w:after="0" w:line="240" w:lineRule="auto"/>
              <w:jc w:val="right"/>
            </w:pPr>
            <w:r>
              <w:rPr>
                <w:sz w:val="18"/>
              </w:rPr>
              <w:t>554,49</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t>Donacije od pravnih i fizičkih osoba izvan općeg proračuna ostvarene su u iznosu od 554,49 eura i odnose se na donaciju nefinancijske imovine (stola za stolni tenis) od strane Školskog športskog saveza Osječko-baranjske županije.</w:t>
      </w:r>
    </w:p>
    <w:p w:rsidR="007210AD" w:rsidRDefault="007210AD"/>
    <w:p w:rsidR="007210AD" w:rsidRDefault="008F3E59">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6711</w:t>
            </w:r>
          </w:p>
        </w:tc>
        <w:tc>
          <w:tcPr>
            <w:tcW w:w="3180" w:type="dxa"/>
            <w:tcMar>
              <w:top w:w="0" w:type="dxa"/>
              <w:bottom w:w="0" w:type="dxa"/>
            </w:tcMar>
            <w:vAlign w:val="center"/>
          </w:tcPr>
          <w:p w:rsidR="007210AD" w:rsidRDefault="008F3E59">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7210AD" w:rsidRDefault="008F3E59">
            <w:pPr>
              <w:keepNext/>
              <w:keepLines/>
              <w:spacing w:after="0" w:line="240" w:lineRule="auto"/>
            </w:pPr>
            <w:r>
              <w:rPr>
                <w:sz w:val="18"/>
              </w:rPr>
              <w:t>6711</w:t>
            </w:r>
          </w:p>
        </w:tc>
        <w:tc>
          <w:tcPr>
            <w:tcW w:w="1860" w:type="dxa"/>
            <w:tcMar>
              <w:top w:w="0" w:type="dxa"/>
              <w:bottom w:w="0" w:type="dxa"/>
            </w:tcMar>
            <w:vAlign w:val="center"/>
          </w:tcPr>
          <w:p w:rsidR="007210AD" w:rsidRDefault="008F3E59">
            <w:pPr>
              <w:keepNext/>
              <w:keepLines/>
              <w:spacing w:after="0" w:line="240" w:lineRule="auto"/>
              <w:jc w:val="right"/>
            </w:pPr>
            <w:r>
              <w:rPr>
                <w:sz w:val="18"/>
              </w:rPr>
              <w:t>115.629,22</w:t>
            </w:r>
          </w:p>
        </w:tc>
        <w:tc>
          <w:tcPr>
            <w:tcW w:w="1860" w:type="dxa"/>
            <w:tcMar>
              <w:top w:w="0" w:type="dxa"/>
              <w:bottom w:w="0" w:type="dxa"/>
            </w:tcMar>
            <w:vAlign w:val="center"/>
          </w:tcPr>
          <w:p w:rsidR="007210AD" w:rsidRDefault="008F3E59">
            <w:pPr>
              <w:keepNext/>
              <w:keepLines/>
              <w:spacing w:after="0" w:line="240" w:lineRule="auto"/>
              <w:jc w:val="right"/>
            </w:pPr>
            <w:r>
              <w:rPr>
                <w:sz w:val="18"/>
              </w:rPr>
              <w:t>109.324,26</w:t>
            </w:r>
          </w:p>
        </w:tc>
        <w:tc>
          <w:tcPr>
            <w:tcW w:w="700" w:type="dxa"/>
            <w:tcMar>
              <w:top w:w="0" w:type="dxa"/>
              <w:bottom w:w="0" w:type="dxa"/>
            </w:tcMar>
            <w:vAlign w:val="center"/>
          </w:tcPr>
          <w:p w:rsidR="007210AD" w:rsidRDefault="008F3E59">
            <w:pPr>
              <w:keepNext/>
              <w:keepLines/>
              <w:spacing w:after="0" w:line="240" w:lineRule="auto"/>
              <w:jc w:val="right"/>
            </w:pPr>
            <w:r>
              <w:rPr>
                <w:sz w:val="18"/>
              </w:rPr>
              <w:t>94,5</w:t>
            </w:r>
          </w:p>
        </w:tc>
      </w:tr>
    </w:tbl>
    <w:p w:rsidR="007210AD" w:rsidRDefault="007210AD">
      <w:pPr>
        <w:spacing w:after="0"/>
      </w:pPr>
    </w:p>
    <w:p w:rsidR="007210AD" w:rsidRDefault="008F3E59">
      <w:r>
        <w:t>Prihodi iz nadležnog proračuna za financiranje rashoda poslovanja ostvareni su u iznosu od 109.324,26 eura, odnosno 5,5% manje nego u istom razdoblju prethodnog izvještajnog razdoblja.  Prihodi se odnose na financiranje rashoda redovnog poslovanja, te financiranje projekata „Učimo zajedno 8“, „Školska shema - voće, povrće i mlijeko“ te projekta "Sajam zanimanja". </w:t>
      </w:r>
    </w:p>
    <w:p w:rsidR="007210AD" w:rsidRDefault="007210AD"/>
    <w:p w:rsidR="007210AD" w:rsidRDefault="008F3E5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6712</w:t>
            </w:r>
          </w:p>
        </w:tc>
        <w:tc>
          <w:tcPr>
            <w:tcW w:w="3180" w:type="dxa"/>
            <w:tcMar>
              <w:top w:w="0" w:type="dxa"/>
              <w:bottom w:w="0" w:type="dxa"/>
            </w:tcMar>
            <w:vAlign w:val="center"/>
          </w:tcPr>
          <w:p w:rsidR="007210AD" w:rsidRDefault="008F3E59">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7210AD" w:rsidRDefault="008F3E59">
            <w:pPr>
              <w:keepNext/>
              <w:keepLines/>
              <w:spacing w:after="0" w:line="240" w:lineRule="auto"/>
            </w:pPr>
            <w:r>
              <w:rPr>
                <w:sz w:val="18"/>
              </w:rPr>
              <w:t>6712</w:t>
            </w:r>
          </w:p>
        </w:tc>
        <w:tc>
          <w:tcPr>
            <w:tcW w:w="1860" w:type="dxa"/>
            <w:tcMar>
              <w:top w:w="0" w:type="dxa"/>
              <w:bottom w:w="0" w:type="dxa"/>
            </w:tcMar>
            <w:vAlign w:val="center"/>
          </w:tcPr>
          <w:p w:rsidR="007210AD" w:rsidRDefault="008F3E59">
            <w:pPr>
              <w:keepNext/>
              <w:keepLines/>
              <w:spacing w:after="0" w:line="240" w:lineRule="auto"/>
              <w:jc w:val="right"/>
            </w:pPr>
            <w:r>
              <w:rPr>
                <w:sz w:val="18"/>
              </w:rPr>
              <w:t>1.648,90</w:t>
            </w:r>
          </w:p>
        </w:tc>
        <w:tc>
          <w:tcPr>
            <w:tcW w:w="1860" w:type="dxa"/>
            <w:tcMar>
              <w:top w:w="0" w:type="dxa"/>
              <w:bottom w:w="0" w:type="dxa"/>
            </w:tcMar>
            <w:vAlign w:val="center"/>
          </w:tcPr>
          <w:p w:rsidR="007210AD" w:rsidRDefault="008F3E59">
            <w:pPr>
              <w:keepNext/>
              <w:keepLines/>
              <w:spacing w:after="0" w:line="240" w:lineRule="auto"/>
              <w:jc w:val="right"/>
            </w:pPr>
            <w:r>
              <w:rPr>
                <w:sz w:val="18"/>
              </w:rPr>
              <w:t>6.209,00</w:t>
            </w:r>
          </w:p>
        </w:tc>
        <w:tc>
          <w:tcPr>
            <w:tcW w:w="700" w:type="dxa"/>
            <w:tcMar>
              <w:top w:w="0" w:type="dxa"/>
              <w:bottom w:w="0" w:type="dxa"/>
            </w:tcMar>
            <w:vAlign w:val="center"/>
          </w:tcPr>
          <w:p w:rsidR="007210AD" w:rsidRDefault="008F3E59">
            <w:pPr>
              <w:keepNext/>
              <w:keepLines/>
              <w:spacing w:after="0" w:line="240" w:lineRule="auto"/>
              <w:jc w:val="right"/>
            </w:pPr>
            <w:r>
              <w:rPr>
                <w:sz w:val="18"/>
              </w:rPr>
              <w:t>376,6</w:t>
            </w:r>
          </w:p>
        </w:tc>
      </w:tr>
    </w:tbl>
    <w:p w:rsidR="007210AD" w:rsidRDefault="007210AD">
      <w:pPr>
        <w:spacing w:after="0"/>
      </w:pPr>
    </w:p>
    <w:p w:rsidR="007210AD" w:rsidRDefault="008F3E59">
      <w:r>
        <w:t>Prihodi iz nadležnog proračuna za financiranje rashoda za nabavu nefinancijske imovine ostvareni su u iznosu od 6.209,00 eura, odnosno 376,6% više nego u istom razdoblju prethodnog izvještajnog razdoblja. Razlog tome su dodatno odobrena sredstva Osječko-baranjske županije za nabavku traktorske kosilice i dvije samohodne kosilice kroz kapitalni projekt Izgradnja, rekonstrukcija i opremanje objekata osnovnog školstva.</w:t>
      </w:r>
    </w:p>
    <w:p w:rsidR="007210AD" w:rsidRDefault="007210AD"/>
    <w:p w:rsidR="007210AD" w:rsidRDefault="008F3E5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311</w:t>
            </w:r>
          </w:p>
        </w:tc>
        <w:tc>
          <w:tcPr>
            <w:tcW w:w="3180" w:type="dxa"/>
            <w:tcMar>
              <w:top w:w="0" w:type="dxa"/>
              <w:bottom w:w="0" w:type="dxa"/>
            </w:tcMar>
            <w:vAlign w:val="center"/>
          </w:tcPr>
          <w:p w:rsidR="007210AD" w:rsidRDefault="008F3E59">
            <w:pPr>
              <w:keepNext/>
              <w:keepLines/>
              <w:spacing w:after="0" w:line="240" w:lineRule="auto"/>
            </w:pPr>
            <w:r>
              <w:rPr>
                <w:sz w:val="18"/>
              </w:rPr>
              <w:t>Plaće (bruto) (šifre 3111 do 3114)</w:t>
            </w:r>
          </w:p>
        </w:tc>
        <w:tc>
          <w:tcPr>
            <w:tcW w:w="700" w:type="dxa"/>
            <w:tcMar>
              <w:top w:w="0" w:type="dxa"/>
              <w:bottom w:w="0" w:type="dxa"/>
            </w:tcMar>
            <w:vAlign w:val="center"/>
          </w:tcPr>
          <w:p w:rsidR="007210AD" w:rsidRDefault="008F3E59">
            <w:pPr>
              <w:keepNext/>
              <w:keepLines/>
              <w:spacing w:after="0" w:line="240" w:lineRule="auto"/>
            </w:pPr>
            <w:r>
              <w:rPr>
                <w:sz w:val="18"/>
              </w:rPr>
              <w:t>311</w:t>
            </w:r>
          </w:p>
        </w:tc>
        <w:tc>
          <w:tcPr>
            <w:tcW w:w="1860" w:type="dxa"/>
            <w:tcMar>
              <w:top w:w="0" w:type="dxa"/>
              <w:bottom w:w="0" w:type="dxa"/>
            </w:tcMar>
            <w:vAlign w:val="center"/>
          </w:tcPr>
          <w:p w:rsidR="007210AD" w:rsidRDefault="008F3E59">
            <w:pPr>
              <w:keepNext/>
              <w:keepLines/>
              <w:spacing w:after="0" w:line="240" w:lineRule="auto"/>
              <w:jc w:val="right"/>
            </w:pPr>
            <w:r>
              <w:rPr>
                <w:sz w:val="18"/>
              </w:rPr>
              <w:t>1.427.282,65</w:t>
            </w:r>
          </w:p>
        </w:tc>
        <w:tc>
          <w:tcPr>
            <w:tcW w:w="1860" w:type="dxa"/>
            <w:tcMar>
              <w:top w:w="0" w:type="dxa"/>
              <w:bottom w:w="0" w:type="dxa"/>
            </w:tcMar>
            <w:vAlign w:val="center"/>
          </w:tcPr>
          <w:p w:rsidR="007210AD" w:rsidRDefault="008F3E59">
            <w:pPr>
              <w:keepNext/>
              <w:keepLines/>
              <w:spacing w:after="0" w:line="240" w:lineRule="auto"/>
              <w:jc w:val="right"/>
            </w:pPr>
            <w:r>
              <w:rPr>
                <w:sz w:val="18"/>
              </w:rPr>
              <w:t>1.684.630,72</w:t>
            </w:r>
          </w:p>
        </w:tc>
        <w:tc>
          <w:tcPr>
            <w:tcW w:w="700" w:type="dxa"/>
            <w:tcMar>
              <w:top w:w="0" w:type="dxa"/>
              <w:bottom w:w="0" w:type="dxa"/>
            </w:tcMar>
            <w:vAlign w:val="center"/>
          </w:tcPr>
          <w:p w:rsidR="007210AD" w:rsidRDefault="008F3E59">
            <w:pPr>
              <w:keepNext/>
              <w:keepLines/>
              <w:spacing w:after="0" w:line="240" w:lineRule="auto"/>
              <w:jc w:val="right"/>
            </w:pPr>
            <w:r>
              <w:rPr>
                <w:sz w:val="18"/>
              </w:rPr>
              <w:t>118,0</w:t>
            </w:r>
          </w:p>
        </w:tc>
      </w:tr>
    </w:tbl>
    <w:p w:rsidR="007210AD" w:rsidRDefault="007210AD">
      <w:pPr>
        <w:spacing w:after="0"/>
      </w:pPr>
    </w:p>
    <w:p w:rsidR="007210AD" w:rsidRDefault="008F3E59">
      <w:r>
        <w:t>Plaće (bruto) (šifre 3111 do 3114) ostvarene su u iznosu od 1.684.630,72 eura što je više za 18% u odnosu na  isto razdoblje prethodnog izvještajnog razdoblja.  Izvor financiranje su MZOM za plaće djelatnika, te Osječko-baranjska županija koja financira plaću u projektu „Učimo zajedno“.  U ovom izvještajnom razdoblju povećane su jer je došlo do povećanja osnovice za obračun plaće u državnim i javnim službama, te povećanja minulog rada za 0,5% za navršenu godinu staža. Također, troškovi prekovremenog rada su povećani jer su učitelji odrađivali više zamjena, a kao posljedica povećanja osnovice za obračun plaća povećani su i troškovi za posebne uvjete rada.</w:t>
      </w:r>
    </w:p>
    <w:p w:rsidR="007210AD" w:rsidRDefault="007210AD"/>
    <w:p w:rsidR="007210AD" w:rsidRDefault="008F3E59">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313</w:t>
            </w:r>
          </w:p>
        </w:tc>
        <w:tc>
          <w:tcPr>
            <w:tcW w:w="3180" w:type="dxa"/>
            <w:tcMar>
              <w:top w:w="0" w:type="dxa"/>
              <w:bottom w:w="0" w:type="dxa"/>
            </w:tcMar>
            <w:vAlign w:val="center"/>
          </w:tcPr>
          <w:p w:rsidR="007210AD" w:rsidRDefault="008F3E59">
            <w:pPr>
              <w:keepNext/>
              <w:keepLines/>
              <w:spacing w:after="0" w:line="240" w:lineRule="auto"/>
            </w:pPr>
            <w:r>
              <w:rPr>
                <w:sz w:val="18"/>
              </w:rPr>
              <w:t>Doprinosi na plaće (šifre 3131 do 3133)</w:t>
            </w:r>
          </w:p>
        </w:tc>
        <w:tc>
          <w:tcPr>
            <w:tcW w:w="700" w:type="dxa"/>
            <w:tcMar>
              <w:top w:w="0" w:type="dxa"/>
              <w:bottom w:w="0" w:type="dxa"/>
            </w:tcMar>
            <w:vAlign w:val="center"/>
          </w:tcPr>
          <w:p w:rsidR="007210AD" w:rsidRDefault="008F3E59">
            <w:pPr>
              <w:keepNext/>
              <w:keepLines/>
              <w:spacing w:after="0" w:line="240" w:lineRule="auto"/>
            </w:pPr>
            <w:r>
              <w:rPr>
                <w:sz w:val="18"/>
              </w:rPr>
              <w:t>313</w:t>
            </w:r>
          </w:p>
        </w:tc>
        <w:tc>
          <w:tcPr>
            <w:tcW w:w="1860" w:type="dxa"/>
            <w:tcMar>
              <w:top w:w="0" w:type="dxa"/>
              <w:bottom w:w="0" w:type="dxa"/>
            </w:tcMar>
            <w:vAlign w:val="center"/>
          </w:tcPr>
          <w:p w:rsidR="007210AD" w:rsidRDefault="008F3E59">
            <w:pPr>
              <w:keepNext/>
              <w:keepLines/>
              <w:spacing w:after="0" w:line="240" w:lineRule="auto"/>
              <w:jc w:val="right"/>
            </w:pPr>
            <w:r>
              <w:rPr>
                <w:sz w:val="18"/>
              </w:rPr>
              <w:t>233.831,18</w:t>
            </w:r>
          </w:p>
        </w:tc>
        <w:tc>
          <w:tcPr>
            <w:tcW w:w="1860" w:type="dxa"/>
            <w:tcMar>
              <w:top w:w="0" w:type="dxa"/>
              <w:bottom w:w="0" w:type="dxa"/>
            </w:tcMar>
            <w:vAlign w:val="center"/>
          </w:tcPr>
          <w:p w:rsidR="007210AD" w:rsidRDefault="008F3E59">
            <w:pPr>
              <w:keepNext/>
              <w:keepLines/>
              <w:spacing w:after="0" w:line="240" w:lineRule="auto"/>
              <w:jc w:val="right"/>
            </w:pPr>
            <w:r>
              <w:rPr>
                <w:sz w:val="18"/>
              </w:rPr>
              <w:t>271.661,40</w:t>
            </w:r>
          </w:p>
        </w:tc>
        <w:tc>
          <w:tcPr>
            <w:tcW w:w="700" w:type="dxa"/>
            <w:tcMar>
              <w:top w:w="0" w:type="dxa"/>
              <w:bottom w:w="0" w:type="dxa"/>
            </w:tcMar>
            <w:vAlign w:val="center"/>
          </w:tcPr>
          <w:p w:rsidR="007210AD" w:rsidRDefault="008F3E59">
            <w:pPr>
              <w:keepNext/>
              <w:keepLines/>
              <w:spacing w:after="0" w:line="240" w:lineRule="auto"/>
              <w:jc w:val="right"/>
            </w:pPr>
            <w:r>
              <w:rPr>
                <w:sz w:val="18"/>
              </w:rPr>
              <w:t>116,2</w:t>
            </w:r>
          </w:p>
        </w:tc>
      </w:tr>
    </w:tbl>
    <w:p w:rsidR="007210AD" w:rsidRDefault="007210AD">
      <w:pPr>
        <w:spacing w:after="0"/>
      </w:pPr>
    </w:p>
    <w:p w:rsidR="007210AD" w:rsidRDefault="008F3E59">
      <w:r>
        <w:t>Doprinosi na plaće (šifre 3131 do 3133) ostvareni su u iznosu od 271.661,40 eura, odnosno 16,2% više nego u istom razdoblju prethodnog izvještajnog razdoblja.  Na povećanje doprinosa najvećim dijelom utjecalo je povećanje osnovice za obračun plaća u državnim i javnim službama, te povećanje minulog rada za 0,5% za navršenu godinu staža.</w:t>
      </w:r>
    </w:p>
    <w:p w:rsidR="007210AD" w:rsidRDefault="007210AD"/>
    <w:p w:rsidR="007210AD" w:rsidRDefault="008F3E5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3212</w:t>
            </w:r>
          </w:p>
        </w:tc>
        <w:tc>
          <w:tcPr>
            <w:tcW w:w="3180" w:type="dxa"/>
            <w:tcMar>
              <w:top w:w="0" w:type="dxa"/>
              <w:bottom w:w="0" w:type="dxa"/>
            </w:tcMar>
            <w:vAlign w:val="center"/>
          </w:tcPr>
          <w:p w:rsidR="007210AD" w:rsidRDefault="008F3E59">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7210AD" w:rsidRDefault="008F3E59">
            <w:pPr>
              <w:keepNext/>
              <w:keepLines/>
              <w:spacing w:after="0" w:line="240" w:lineRule="auto"/>
            </w:pPr>
            <w:r>
              <w:rPr>
                <w:sz w:val="18"/>
              </w:rPr>
              <w:t>3212</w:t>
            </w:r>
          </w:p>
        </w:tc>
        <w:tc>
          <w:tcPr>
            <w:tcW w:w="1860" w:type="dxa"/>
            <w:tcMar>
              <w:top w:w="0" w:type="dxa"/>
              <w:bottom w:w="0" w:type="dxa"/>
            </w:tcMar>
            <w:vAlign w:val="center"/>
          </w:tcPr>
          <w:p w:rsidR="007210AD" w:rsidRDefault="008F3E59">
            <w:pPr>
              <w:keepNext/>
              <w:keepLines/>
              <w:spacing w:after="0" w:line="240" w:lineRule="auto"/>
              <w:jc w:val="right"/>
            </w:pPr>
            <w:r>
              <w:rPr>
                <w:sz w:val="18"/>
              </w:rPr>
              <w:t>64.876,41</w:t>
            </w:r>
          </w:p>
        </w:tc>
        <w:tc>
          <w:tcPr>
            <w:tcW w:w="1860" w:type="dxa"/>
            <w:tcMar>
              <w:top w:w="0" w:type="dxa"/>
              <w:bottom w:w="0" w:type="dxa"/>
            </w:tcMar>
            <w:vAlign w:val="center"/>
          </w:tcPr>
          <w:p w:rsidR="007210AD" w:rsidRDefault="008F3E59">
            <w:pPr>
              <w:keepNext/>
              <w:keepLines/>
              <w:spacing w:after="0" w:line="240" w:lineRule="auto"/>
              <w:jc w:val="right"/>
            </w:pPr>
            <w:r>
              <w:rPr>
                <w:sz w:val="18"/>
              </w:rPr>
              <w:t>73.629,31</w:t>
            </w:r>
          </w:p>
        </w:tc>
        <w:tc>
          <w:tcPr>
            <w:tcW w:w="700" w:type="dxa"/>
            <w:tcMar>
              <w:top w:w="0" w:type="dxa"/>
              <w:bottom w:w="0" w:type="dxa"/>
            </w:tcMar>
            <w:vAlign w:val="center"/>
          </w:tcPr>
          <w:p w:rsidR="007210AD" w:rsidRDefault="008F3E59">
            <w:pPr>
              <w:keepNext/>
              <w:keepLines/>
              <w:spacing w:after="0" w:line="240" w:lineRule="auto"/>
              <w:jc w:val="right"/>
            </w:pPr>
            <w:r>
              <w:rPr>
                <w:sz w:val="18"/>
              </w:rPr>
              <w:t>113,5</w:t>
            </w:r>
          </w:p>
        </w:tc>
      </w:tr>
    </w:tbl>
    <w:p w:rsidR="007210AD" w:rsidRDefault="007210AD">
      <w:pPr>
        <w:spacing w:after="0"/>
      </w:pPr>
    </w:p>
    <w:p w:rsidR="007210AD" w:rsidRDefault="008F3E59">
      <w:r>
        <w:t>Naknade za prijevoz ostvarene su u iznosu od 73.629,31 euro što je 13,5% više nego u istom razdoblju prethodnog izvještajnog razdoblja. Povećane su zbog velikog broja zamjena učitelja koji putuju iz udaljenijih mjesta.</w:t>
      </w:r>
    </w:p>
    <w:p w:rsidR="007210AD" w:rsidRDefault="007210AD"/>
    <w:p w:rsidR="007210AD" w:rsidRDefault="008F3E59">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3214</w:t>
            </w:r>
          </w:p>
        </w:tc>
        <w:tc>
          <w:tcPr>
            <w:tcW w:w="3180" w:type="dxa"/>
            <w:tcMar>
              <w:top w:w="0" w:type="dxa"/>
              <w:bottom w:w="0" w:type="dxa"/>
            </w:tcMar>
            <w:vAlign w:val="center"/>
          </w:tcPr>
          <w:p w:rsidR="007210AD" w:rsidRDefault="008F3E59">
            <w:pPr>
              <w:keepNext/>
              <w:keepLines/>
              <w:spacing w:after="0" w:line="240" w:lineRule="auto"/>
            </w:pPr>
            <w:r>
              <w:rPr>
                <w:sz w:val="18"/>
              </w:rPr>
              <w:t>Ostale naknade troškova zaposlenima</w:t>
            </w:r>
          </w:p>
        </w:tc>
        <w:tc>
          <w:tcPr>
            <w:tcW w:w="700" w:type="dxa"/>
            <w:tcMar>
              <w:top w:w="0" w:type="dxa"/>
              <w:bottom w:w="0" w:type="dxa"/>
            </w:tcMar>
            <w:vAlign w:val="center"/>
          </w:tcPr>
          <w:p w:rsidR="007210AD" w:rsidRDefault="008F3E59">
            <w:pPr>
              <w:keepNext/>
              <w:keepLines/>
              <w:spacing w:after="0" w:line="240" w:lineRule="auto"/>
            </w:pPr>
            <w:r>
              <w:rPr>
                <w:sz w:val="18"/>
              </w:rPr>
              <w:t>3214</w:t>
            </w:r>
          </w:p>
        </w:tc>
        <w:tc>
          <w:tcPr>
            <w:tcW w:w="1860" w:type="dxa"/>
            <w:tcMar>
              <w:top w:w="0" w:type="dxa"/>
              <w:bottom w:w="0" w:type="dxa"/>
            </w:tcMar>
            <w:vAlign w:val="center"/>
          </w:tcPr>
          <w:p w:rsidR="007210AD" w:rsidRDefault="008F3E59">
            <w:pPr>
              <w:keepNext/>
              <w:keepLines/>
              <w:spacing w:after="0" w:line="240" w:lineRule="auto"/>
              <w:jc w:val="right"/>
            </w:pPr>
            <w:r>
              <w:rPr>
                <w:sz w:val="18"/>
              </w:rPr>
              <w:t>6.128,69</w:t>
            </w:r>
          </w:p>
        </w:tc>
        <w:tc>
          <w:tcPr>
            <w:tcW w:w="1860" w:type="dxa"/>
            <w:tcMar>
              <w:top w:w="0" w:type="dxa"/>
              <w:bottom w:w="0" w:type="dxa"/>
            </w:tcMar>
            <w:vAlign w:val="center"/>
          </w:tcPr>
          <w:p w:rsidR="007210AD" w:rsidRDefault="008F3E59">
            <w:pPr>
              <w:keepNext/>
              <w:keepLines/>
              <w:spacing w:after="0" w:line="240" w:lineRule="auto"/>
              <w:jc w:val="right"/>
            </w:pPr>
            <w:r>
              <w:rPr>
                <w:sz w:val="18"/>
              </w:rPr>
              <w:t>8.644,12</w:t>
            </w:r>
          </w:p>
        </w:tc>
        <w:tc>
          <w:tcPr>
            <w:tcW w:w="700" w:type="dxa"/>
            <w:tcMar>
              <w:top w:w="0" w:type="dxa"/>
              <w:bottom w:w="0" w:type="dxa"/>
            </w:tcMar>
            <w:vAlign w:val="center"/>
          </w:tcPr>
          <w:p w:rsidR="007210AD" w:rsidRDefault="008F3E59">
            <w:pPr>
              <w:keepNext/>
              <w:keepLines/>
              <w:spacing w:after="0" w:line="240" w:lineRule="auto"/>
              <w:jc w:val="right"/>
            </w:pPr>
            <w:r>
              <w:rPr>
                <w:sz w:val="18"/>
              </w:rPr>
              <w:t>141,0</w:t>
            </w:r>
          </w:p>
        </w:tc>
      </w:tr>
    </w:tbl>
    <w:p w:rsidR="007210AD" w:rsidRDefault="007210AD">
      <w:pPr>
        <w:spacing w:after="0"/>
      </w:pPr>
    </w:p>
    <w:p w:rsidR="007210AD" w:rsidRDefault="008F3E59">
      <w:r>
        <w:t>Ostale naknade troškova zaposlenima ostvarene su u iznosu od 8.644,12 eura, odnosno 41,0% više nego u istom razdoblju prethodnog izvještajnog razdoblja.  Razlog povećanja su isplate naknada za neiskorišteni godišnji odmor djelatnicima na zamjenama. </w:t>
      </w:r>
    </w:p>
    <w:p w:rsidR="007210AD" w:rsidRDefault="007210AD"/>
    <w:p w:rsidR="007210AD" w:rsidRDefault="008F3E5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3225</w:t>
            </w:r>
          </w:p>
        </w:tc>
        <w:tc>
          <w:tcPr>
            <w:tcW w:w="3180" w:type="dxa"/>
            <w:tcMar>
              <w:top w:w="0" w:type="dxa"/>
              <w:bottom w:w="0" w:type="dxa"/>
            </w:tcMar>
            <w:vAlign w:val="center"/>
          </w:tcPr>
          <w:p w:rsidR="007210AD" w:rsidRDefault="008F3E59">
            <w:pPr>
              <w:keepNext/>
              <w:keepLines/>
              <w:spacing w:after="0" w:line="240" w:lineRule="auto"/>
            </w:pPr>
            <w:r>
              <w:rPr>
                <w:sz w:val="18"/>
              </w:rPr>
              <w:t>Sitni inventar i autogume</w:t>
            </w:r>
          </w:p>
        </w:tc>
        <w:tc>
          <w:tcPr>
            <w:tcW w:w="700" w:type="dxa"/>
            <w:tcMar>
              <w:top w:w="0" w:type="dxa"/>
              <w:bottom w:w="0" w:type="dxa"/>
            </w:tcMar>
            <w:vAlign w:val="center"/>
          </w:tcPr>
          <w:p w:rsidR="007210AD" w:rsidRDefault="008F3E59">
            <w:pPr>
              <w:keepNext/>
              <w:keepLines/>
              <w:spacing w:after="0" w:line="240" w:lineRule="auto"/>
            </w:pPr>
            <w:r>
              <w:rPr>
                <w:sz w:val="18"/>
              </w:rPr>
              <w:t>3225</w:t>
            </w:r>
          </w:p>
        </w:tc>
        <w:tc>
          <w:tcPr>
            <w:tcW w:w="1860" w:type="dxa"/>
            <w:tcMar>
              <w:top w:w="0" w:type="dxa"/>
              <w:bottom w:w="0" w:type="dxa"/>
            </w:tcMar>
            <w:vAlign w:val="center"/>
          </w:tcPr>
          <w:p w:rsidR="007210AD" w:rsidRDefault="008F3E59">
            <w:pPr>
              <w:keepNext/>
              <w:keepLines/>
              <w:spacing w:after="0" w:line="240" w:lineRule="auto"/>
              <w:jc w:val="right"/>
            </w:pPr>
            <w:r>
              <w:rPr>
                <w:sz w:val="18"/>
              </w:rPr>
              <w:t>844,54</w:t>
            </w:r>
          </w:p>
        </w:tc>
        <w:tc>
          <w:tcPr>
            <w:tcW w:w="1860" w:type="dxa"/>
            <w:tcMar>
              <w:top w:w="0" w:type="dxa"/>
              <w:bottom w:w="0" w:type="dxa"/>
            </w:tcMar>
            <w:vAlign w:val="center"/>
          </w:tcPr>
          <w:p w:rsidR="007210AD" w:rsidRDefault="008F3E59">
            <w:pPr>
              <w:keepNext/>
              <w:keepLines/>
              <w:spacing w:after="0" w:line="240" w:lineRule="auto"/>
              <w:jc w:val="right"/>
            </w:pPr>
            <w:r>
              <w:rPr>
                <w:sz w:val="18"/>
              </w:rPr>
              <w:t>1.736,45</w:t>
            </w:r>
          </w:p>
        </w:tc>
        <w:tc>
          <w:tcPr>
            <w:tcW w:w="700" w:type="dxa"/>
            <w:tcMar>
              <w:top w:w="0" w:type="dxa"/>
              <w:bottom w:w="0" w:type="dxa"/>
            </w:tcMar>
            <w:vAlign w:val="center"/>
          </w:tcPr>
          <w:p w:rsidR="007210AD" w:rsidRDefault="008F3E59">
            <w:pPr>
              <w:keepNext/>
              <w:keepLines/>
              <w:spacing w:after="0" w:line="240" w:lineRule="auto"/>
              <w:jc w:val="right"/>
            </w:pPr>
            <w:r>
              <w:rPr>
                <w:sz w:val="18"/>
              </w:rPr>
              <w:t>205,6</w:t>
            </w:r>
          </w:p>
        </w:tc>
      </w:tr>
    </w:tbl>
    <w:p w:rsidR="007210AD" w:rsidRDefault="007210AD">
      <w:pPr>
        <w:spacing w:after="0"/>
      </w:pPr>
    </w:p>
    <w:p w:rsidR="007210AD" w:rsidRDefault="008F3E59">
      <w:r>
        <w:t>Sitan inventar ostvaren je u iznosu od 1.736,45 eura, odnosno 105,6% više nego u istom razdoblju prethodnog izvještajnog razdoblja. Razlog je nabava lopti, vijača i drugih pomagala za nastavu tjelesnog odgoja.</w:t>
      </w:r>
    </w:p>
    <w:p w:rsidR="007210AD" w:rsidRDefault="007210AD"/>
    <w:p w:rsidR="007210AD" w:rsidRDefault="008F3E5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3227</w:t>
            </w:r>
          </w:p>
        </w:tc>
        <w:tc>
          <w:tcPr>
            <w:tcW w:w="3180" w:type="dxa"/>
            <w:tcMar>
              <w:top w:w="0" w:type="dxa"/>
              <w:bottom w:w="0" w:type="dxa"/>
            </w:tcMar>
            <w:vAlign w:val="center"/>
          </w:tcPr>
          <w:p w:rsidR="007210AD" w:rsidRDefault="008F3E59">
            <w:pPr>
              <w:keepNext/>
              <w:keepLines/>
              <w:spacing w:after="0" w:line="240" w:lineRule="auto"/>
            </w:pPr>
            <w:r>
              <w:rPr>
                <w:sz w:val="18"/>
              </w:rPr>
              <w:t>Službena, radna i zaštitna odjeća i obuća</w:t>
            </w:r>
          </w:p>
        </w:tc>
        <w:tc>
          <w:tcPr>
            <w:tcW w:w="700" w:type="dxa"/>
            <w:tcMar>
              <w:top w:w="0" w:type="dxa"/>
              <w:bottom w:w="0" w:type="dxa"/>
            </w:tcMar>
            <w:vAlign w:val="center"/>
          </w:tcPr>
          <w:p w:rsidR="007210AD" w:rsidRDefault="008F3E59">
            <w:pPr>
              <w:keepNext/>
              <w:keepLines/>
              <w:spacing w:after="0" w:line="240" w:lineRule="auto"/>
            </w:pPr>
            <w:r>
              <w:rPr>
                <w:sz w:val="18"/>
              </w:rPr>
              <w:t>3227</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1860" w:type="dxa"/>
            <w:tcMar>
              <w:top w:w="0" w:type="dxa"/>
              <w:bottom w:w="0" w:type="dxa"/>
            </w:tcMar>
            <w:vAlign w:val="center"/>
          </w:tcPr>
          <w:p w:rsidR="007210AD" w:rsidRDefault="008F3E59">
            <w:pPr>
              <w:keepNext/>
              <w:keepLines/>
              <w:spacing w:after="0" w:line="240" w:lineRule="auto"/>
              <w:jc w:val="right"/>
            </w:pPr>
            <w:r>
              <w:rPr>
                <w:sz w:val="18"/>
              </w:rPr>
              <w:t>690,01</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t>Službena, radna i zaštitna odjeća i obuća ostvarena je u iznosu od 690,01 euro. Razlog je nabava hlača, jakni, pončo pregača, cipela i papuča za spremače i domare.</w:t>
      </w:r>
    </w:p>
    <w:p w:rsidR="007210AD" w:rsidRDefault="007210AD"/>
    <w:p w:rsidR="007210AD" w:rsidRDefault="008F3E59">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3231</w:t>
            </w:r>
          </w:p>
        </w:tc>
        <w:tc>
          <w:tcPr>
            <w:tcW w:w="3180" w:type="dxa"/>
            <w:tcMar>
              <w:top w:w="0" w:type="dxa"/>
              <w:bottom w:w="0" w:type="dxa"/>
            </w:tcMar>
            <w:vAlign w:val="center"/>
          </w:tcPr>
          <w:p w:rsidR="007210AD" w:rsidRDefault="008F3E59">
            <w:pPr>
              <w:keepNext/>
              <w:keepLines/>
              <w:spacing w:after="0" w:line="240" w:lineRule="auto"/>
            </w:pPr>
            <w:r>
              <w:rPr>
                <w:sz w:val="18"/>
              </w:rPr>
              <w:t>Usluge telefona, interneta, pošte i prijevoza</w:t>
            </w:r>
          </w:p>
        </w:tc>
        <w:tc>
          <w:tcPr>
            <w:tcW w:w="700" w:type="dxa"/>
            <w:tcMar>
              <w:top w:w="0" w:type="dxa"/>
              <w:bottom w:w="0" w:type="dxa"/>
            </w:tcMar>
            <w:vAlign w:val="center"/>
          </w:tcPr>
          <w:p w:rsidR="007210AD" w:rsidRDefault="008F3E59">
            <w:pPr>
              <w:keepNext/>
              <w:keepLines/>
              <w:spacing w:after="0" w:line="240" w:lineRule="auto"/>
            </w:pPr>
            <w:r>
              <w:rPr>
                <w:sz w:val="18"/>
              </w:rPr>
              <w:t>3231</w:t>
            </w:r>
          </w:p>
        </w:tc>
        <w:tc>
          <w:tcPr>
            <w:tcW w:w="1860" w:type="dxa"/>
            <w:tcMar>
              <w:top w:w="0" w:type="dxa"/>
              <w:bottom w:w="0" w:type="dxa"/>
            </w:tcMar>
            <w:vAlign w:val="center"/>
          </w:tcPr>
          <w:p w:rsidR="007210AD" w:rsidRDefault="008F3E59">
            <w:pPr>
              <w:keepNext/>
              <w:keepLines/>
              <w:spacing w:after="0" w:line="240" w:lineRule="auto"/>
              <w:jc w:val="right"/>
            </w:pPr>
            <w:r>
              <w:rPr>
                <w:sz w:val="18"/>
              </w:rPr>
              <w:t>3.247,71</w:t>
            </w:r>
          </w:p>
        </w:tc>
        <w:tc>
          <w:tcPr>
            <w:tcW w:w="1860" w:type="dxa"/>
            <w:tcMar>
              <w:top w:w="0" w:type="dxa"/>
              <w:bottom w:w="0" w:type="dxa"/>
            </w:tcMar>
            <w:vAlign w:val="center"/>
          </w:tcPr>
          <w:p w:rsidR="007210AD" w:rsidRDefault="008F3E59">
            <w:pPr>
              <w:keepNext/>
              <w:keepLines/>
              <w:spacing w:after="0" w:line="240" w:lineRule="auto"/>
              <w:jc w:val="right"/>
            </w:pPr>
            <w:r>
              <w:rPr>
                <w:sz w:val="18"/>
              </w:rPr>
              <w:t>4.923,77</w:t>
            </w:r>
          </w:p>
        </w:tc>
        <w:tc>
          <w:tcPr>
            <w:tcW w:w="700" w:type="dxa"/>
            <w:tcMar>
              <w:top w:w="0" w:type="dxa"/>
              <w:bottom w:w="0" w:type="dxa"/>
            </w:tcMar>
            <w:vAlign w:val="center"/>
          </w:tcPr>
          <w:p w:rsidR="007210AD" w:rsidRDefault="008F3E59">
            <w:pPr>
              <w:keepNext/>
              <w:keepLines/>
              <w:spacing w:after="0" w:line="240" w:lineRule="auto"/>
              <w:jc w:val="right"/>
            </w:pPr>
            <w:r>
              <w:rPr>
                <w:sz w:val="18"/>
              </w:rPr>
              <w:t>151,6</w:t>
            </w:r>
          </w:p>
        </w:tc>
      </w:tr>
    </w:tbl>
    <w:p w:rsidR="007210AD" w:rsidRDefault="007210AD">
      <w:pPr>
        <w:spacing w:after="0"/>
      </w:pPr>
    </w:p>
    <w:p w:rsidR="007210AD" w:rsidRDefault="008F3E59">
      <w:r>
        <w:t>Usluge telefona, interneta, pošte i prijevoza ostvarene su u iznosu od 4.923,77 eura, odnosno 51,6% više nego u istom razdoblju prethodnog izvještajnog razdoblja.  Trošak je povećan prvenstveno zbog prijevoza učenika u dječje kazalište u Osijeku.</w:t>
      </w:r>
    </w:p>
    <w:p w:rsidR="007210AD" w:rsidRDefault="007210AD"/>
    <w:p w:rsidR="007210AD" w:rsidRDefault="008F3E59">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3232</w:t>
            </w:r>
          </w:p>
        </w:tc>
        <w:tc>
          <w:tcPr>
            <w:tcW w:w="3180" w:type="dxa"/>
            <w:tcMar>
              <w:top w:w="0" w:type="dxa"/>
              <w:bottom w:w="0" w:type="dxa"/>
            </w:tcMar>
            <w:vAlign w:val="center"/>
          </w:tcPr>
          <w:p w:rsidR="007210AD" w:rsidRDefault="008F3E59">
            <w:pPr>
              <w:keepNext/>
              <w:keepLines/>
              <w:spacing w:after="0" w:line="240" w:lineRule="auto"/>
            </w:pPr>
            <w:r>
              <w:rPr>
                <w:sz w:val="18"/>
              </w:rPr>
              <w:t>Usluge tekućeg i investicijskog održavanja</w:t>
            </w:r>
          </w:p>
        </w:tc>
        <w:tc>
          <w:tcPr>
            <w:tcW w:w="700" w:type="dxa"/>
            <w:tcMar>
              <w:top w:w="0" w:type="dxa"/>
              <w:bottom w:w="0" w:type="dxa"/>
            </w:tcMar>
            <w:vAlign w:val="center"/>
          </w:tcPr>
          <w:p w:rsidR="007210AD" w:rsidRDefault="008F3E59">
            <w:pPr>
              <w:keepNext/>
              <w:keepLines/>
              <w:spacing w:after="0" w:line="240" w:lineRule="auto"/>
            </w:pPr>
            <w:r>
              <w:rPr>
                <w:sz w:val="18"/>
              </w:rPr>
              <w:t>3232</w:t>
            </w:r>
          </w:p>
        </w:tc>
        <w:tc>
          <w:tcPr>
            <w:tcW w:w="1860" w:type="dxa"/>
            <w:tcMar>
              <w:top w:w="0" w:type="dxa"/>
              <w:bottom w:w="0" w:type="dxa"/>
            </w:tcMar>
            <w:vAlign w:val="center"/>
          </w:tcPr>
          <w:p w:rsidR="007210AD" w:rsidRDefault="008F3E59">
            <w:pPr>
              <w:keepNext/>
              <w:keepLines/>
              <w:spacing w:after="0" w:line="240" w:lineRule="auto"/>
              <w:jc w:val="right"/>
            </w:pPr>
            <w:r>
              <w:rPr>
                <w:sz w:val="18"/>
              </w:rPr>
              <w:t>16.968,91</w:t>
            </w:r>
          </w:p>
        </w:tc>
        <w:tc>
          <w:tcPr>
            <w:tcW w:w="1860" w:type="dxa"/>
            <w:tcMar>
              <w:top w:w="0" w:type="dxa"/>
              <w:bottom w:w="0" w:type="dxa"/>
            </w:tcMar>
            <w:vAlign w:val="center"/>
          </w:tcPr>
          <w:p w:rsidR="007210AD" w:rsidRDefault="008F3E59">
            <w:pPr>
              <w:keepNext/>
              <w:keepLines/>
              <w:spacing w:after="0" w:line="240" w:lineRule="auto"/>
              <w:jc w:val="right"/>
            </w:pPr>
            <w:r>
              <w:rPr>
                <w:sz w:val="18"/>
              </w:rPr>
              <w:t>11.895,60</w:t>
            </w:r>
          </w:p>
        </w:tc>
        <w:tc>
          <w:tcPr>
            <w:tcW w:w="700" w:type="dxa"/>
            <w:tcMar>
              <w:top w:w="0" w:type="dxa"/>
              <w:bottom w:w="0" w:type="dxa"/>
            </w:tcMar>
            <w:vAlign w:val="center"/>
          </w:tcPr>
          <w:p w:rsidR="007210AD" w:rsidRDefault="008F3E59">
            <w:pPr>
              <w:keepNext/>
              <w:keepLines/>
              <w:spacing w:after="0" w:line="240" w:lineRule="auto"/>
              <w:jc w:val="right"/>
            </w:pPr>
            <w:r>
              <w:rPr>
                <w:sz w:val="18"/>
              </w:rPr>
              <w:t>70,1</w:t>
            </w:r>
          </w:p>
        </w:tc>
      </w:tr>
    </w:tbl>
    <w:p w:rsidR="007210AD" w:rsidRDefault="007210AD">
      <w:pPr>
        <w:spacing w:after="0"/>
      </w:pPr>
    </w:p>
    <w:p w:rsidR="007210AD" w:rsidRDefault="008F3E59">
      <w:r>
        <w:t>Troškovi usluga tekućeg i investicijskog održavanja ostvareni su u iznosu od 11.895,60 eura, odnosno 30,0% manje nego u istom razdoblju prethodnog izvještajnog razdoblja.  Razlog tome je što smo u istom razdoblju 2024. godine imali radove na vodovodnoj i kanalizacijskoj mreži u sanitarnim čvorovima u matičnoj školi.</w:t>
      </w:r>
    </w:p>
    <w:p w:rsidR="007210AD" w:rsidRDefault="007210AD"/>
    <w:p w:rsidR="007210AD" w:rsidRDefault="008F3E5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3234</w:t>
            </w:r>
          </w:p>
        </w:tc>
        <w:tc>
          <w:tcPr>
            <w:tcW w:w="3180" w:type="dxa"/>
            <w:tcMar>
              <w:top w:w="0" w:type="dxa"/>
              <w:bottom w:w="0" w:type="dxa"/>
            </w:tcMar>
            <w:vAlign w:val="center"/>
          </w:tcPr>
          <w:p w:rsidR="007210AD" w:rsidRDefault="008F3E59">
            <w:pPr>
              <w:keepNext/>
              <w:keepLines/>
              <w:spacing w:after="0" w:line="240" w:lineRule="auto"/>
            </w:pPr>
            <w:r>
              <w:rPr>
                <w:sz w:val="18"/>
              </w:rPr>
              <w:t>Komunalne usluge</w:t>
            </w:r>
          </w:p>
        </w:tc>
        <w:tc>
          <w:tcPr>
            <w:tcW w:w="700" w:type="dxa"/>
            <w:tcMar>
              <w:top w:w="0" w:type="dxa"/>
              <w:bottom w:w="0" w:type="dxa"/>
            </w:tcMar>
            <w:vAlign w:val="center"/>
          </w:tcPr>
          <w:p w:rsidR="007210AD" w:rsidRDefault="008F3E59">
            <w:pPr>
              <w:keepNext/>
              <w:keepLines/>
              <w:spacing w:after="0" w:line="240" w:lineRule="auto"/>
            </w:pPr>
            <w:r>
              <w:rPr>
                <w:sz w:val="18"/>
              </w:rPr>
              <w:t>3234</w:t>
            </w:r>
          </w:p>
        </w:tc>
        <w:tc>
          <w:tcPr>
            <w:tcW w:w="1860" w:type="dxa"/>
            <w:tcMar>
              <w:top w:w="0" w:type="dxa"/>
              <w:bottom w:w="0" w:type="dxa"/>
            </w:tcMar>
            <w:vAlign w:val="center"/>
          </w:tcPr>
          <w:p w:rsidR="007210AD" w:rsidRDefault="008F3E59">
            <w:pPr>
              <w:keepNext/>
              <w:keepLines/>
              <w:spacing w:after="0" w:line="240" w:lineRule="auto"/>
              <w:jc w:val="right"/>
            </w:pPr>
            <w:r>
              <w:rPr>
                <w:sz w:val="18"/>
              </w:rPr>
              <w:t>7.649,82</w:t>
            </w:r>
          </w:p>
        </w:tc>
        <w:tc>
          <w:tcPr>
            <w:tcW w:w="1860" w:type="dxa"/>
            <w:tcMar>
              <w:top w:w="0" w:type="dxa"/>
              <w:bottom w:w="0" w:type="dxa"/>
            </w:tcMar>
            <w:vAlign w:val="center"/>
          </w:tcPr>
          <w:p w:rsidR="007210AD" w:rsidRDefault="008F3E59">
            <w:pPr>
              <w:keepNext/>
              <w:keepLines/>
              <w:spacing w:after="0" w:line="240" w:lineRule="auto"/>
              <w:jc w:val="right"/>
            </w:pPr>
            <w:r>
              <w:rPr>
                <w:sz w:val="18"/>
              </w:rPr>
              <w:t>6.614,71</w:t>
            </w:r>
          </w:p>
        </w:tc>
        <w:tc>
          <w:tcPr>
            <w:tcW w:w="700" w:type="dxa"/>
            <w:tcMar>
              <w:top w:w="0" w:type="dxa"/>
              <w:bottom w:w="0" w:type="dxa"/>
            </w:tcMar>
            <w:vAlign w:val="center"/>
          </w:tcPr>
          <w:p w:rsidR="007210AD" w:rsidRDefault="008F3E59">
            <w:pPr>
              <w:keepNext/>
              <w:keepLines/>
              <w:spacing w:after="0" w:line="240" w:lineRule="auto"/>
              <w:jc w:val="right"/>
            </w:pPr>
            <w:r>
              <w:rPr>
                <w:sz w:val="18"/>
              </w:rPr>
              <w:t>86,5</w:t>
            </w:r>
          </w:p>
        </w:tc>
      </w:tr>
    </w:tbl>
    <w:p w:rsidR="007210AD" w:rsidRDefault="007210AD">
      <w:pPr>
        <w:spacing w:after="0"/>
      </w:pPr>
    </w:p>
    <w:p w:rsidR="007210AD" w:rsidRDefault="008F3E59">
      <w:r>
        <w:t xml:space="preserve">Troškovi komunalnih usluga ostvareni su u iznosu od 6.614,71 eura, odnosno 13,5% manje nego u istom razdoblju prethodnog izvještajnog razdoblja. Razlog smanjenja troškova </w:t>
      </w:r>
      <w:r>
        <w:lastRenderedPageBreak/>
        <w:t>komunalnih usluga prvenstveno je manji opseg pražnjenja sabirnih jama, manja potrošnja vode jer smo prošle godine imali kvar na mreži te manji troškovi dimnjačara .</w:t>
      </w:r>
    </w:p>
    <w:p w:rsidR="007210AD" w:rsidRDefault="007210AD"/>
    <w:p w:rsidR="007210AD" w:rsidRDefault="008F3E5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3236</w:t>
            </w:r>
          </w:p>
        </w:tc>
        <w:tc>
          <w:tcPr>
            <w:tcW w:w="3180" w:type="dxa"/>
            <w:tcMar>
              <w:top w:w="0" w:type="dxa"/>
              <w:bottom w:w="0" w:type="dxa"/>
            </w:tcMar>
            <w:vAlign w:val="center"/>
          </w:tcPr>
          <w:p w:rsidR="007210AD" w:rsidRDefault="008F3E59">
            <w:pPr>
              <w:keepNext/>
              <w:keepLines/>
              <w:spacing w:after="0" w:line="240" w:lineRule="auto"/>
            </w:pPr>
            <w:r>
              <w:rPr>
                <w:sz w:val="18"/>
              </w:rPr>
              <w:t>Zdravstvene i veterinarske usluge</w:t>
            </w:r>
          </w:p>
        </w:tc>
        <w:tc>
          <w:tcPr>
            <w:tcW w:w="700" w:type="dxa"/>
            <w:tcMar>
              <w:top w:w="0" w:type="dxa"/>
              <w:bottom w:w="0" w:type="dxa"/>
            </w:tcMar>
            <w:vAlign w:val="center"/>
          </w:tcPr>
          <w:p w:rsidR="007210AD" w:rsidRDefault="008F3E59">
            <w:pPr>
              <w:keepNext/>
              <w:keepLines/>
              <w:spacing w:after="0" w:line="240" w:lineRule="auto"/>
            </w:pPr>
            <w:r>
              <w:rPr>
                <w:sz w:val="18"/>
              </w:rPr>
              <w:t>3236</w:t>
            </w:r>
          </w:p>
        </w:tc>
        <w:tc>
          <w:tcPr>
            <w:tcW w:w="1860" w:type="dxa"/>
            <w:tcMar>
              <w:top w:w="0" w:type="dxa"/>
              <w:bottom w:w="0" w:type="dxa"/>
            </w:tcMar>
            <w:vAlign w:val="center"/>
          </w:tcPr>
          <w:p w:rsidR="007210AD" w:rsidRDefault="008F3E59">
            <w:pPr>
              <w:keepNext/>
              <w:keepLines/>
              <w:spacing w:after="0" w:line="240" w:lineRule="auto"/>
              <w:jc w:val="right"/>
            </w:pPr>
            <w:r>
              <w:rPr>
                <w:sz w:val="18"/>
              </w:rPr>
              <w:t>4.530,86</w:t>
            </w:r>
          </w:p>
        </w:tc>
        <w:tc>
          <w:tcPr>
            <w:tcW w:w="1860" w:type="dxa"/>
            <w:tcMar>
              <w:top w:w="0" w:type="dxa"/>
              <w:bottom w:w="0" w:type="dxa"/>
            </w:tcMar>
            <w:vAlign w:val="center"/>
          </w:tcPr>
          <w:p w:rsidR="007210AD" w:rsidRDefault="008F3E59">
            <w:pPr>
              <w:keepNext/>
              <w:keepLines/>
              <w:spacing w:after="0" w:line="240" w:lineRule="auto"/>
              <w:jc w:val="right"/>
            </w:pPr>
            <w:r>
              <w:rPr>
                <w:sz w:val="18"/>
              </w:rPr>
              <w:t>6.059,47</w:t>
            </w:r>
          </w:p>
        </w:tc>
        <w:tc>
          <w:tcPr>
            <w:tcW w:w="700" w:type="dxa"/>
            <w:tcMar>
              <w:top w:w="0" w:type="dxa"/>
              <w:bottom w:w="0" w:type="dxa"/>
            </w:tcMar>
            <w:vAlign w:val="center"/>
          </w:tcPr>
          <w:p w:rsidR="007210AD" w:rsidRDefault="008F3E59">
            <w:pPr>
              <w:keepNext/>
              <w:keepLines/>
              <w:spacing w:after="0" w:line="240" w:lineRule="auto"/>
              <w:jc w:val="right"/>
            </w:pPr>
            <w:r>
              <w:rPr>
                <w:sz w:val="18"/>
              </w:rPr>
              <w:t>133,7</w:t>
            </w:r>
          </w:p>
        </w:tc>
      </w:tr>
    </w:tbl>
    <w:p w:rsidR="007210AD" w:rsidRDefault="007210AD">
      <w:pPr>
        <w:spacing w:after="0"/>
      </w:pPr>
    </w:p>
    <w:p w:rsidR="007210AD" w:rsidRDefault="008F3E59">
      <w:r>
        <w:t>Trošak zdravstvenih ulsuga ostvaren je u iznosu od 6.059,47 eura što je 33,7% više nego u istom razdoblju prethodnog izvještajnog razdoblja. Razlog je provedena analiza vode na legionelu i olovo.</w:t>
      </w:r>
    </w:p>
    <w:p w:rsidR="007210AD" w:rsidRDefault="007210AD"/>
    <w:p w:rsidR="007210AD" w:rsidRDefault="008F3E5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3237</w:t>
            </w:r>
          </w:p>
        </w:tc>
        <w:tc>
          <w:tcPr>
            <w:tcW w:w="3180" w:type="dxa"/>
            <w:tcMar>
              <w:top w:w="0" w:type="dxa"/>
              <w:bottom w:w="0" w:type="dxa"/>
            </w:tcMar>
            <w:vAlign w:val="center"/>
          </w:tcPr>
          <w:p w:rsidR="007210AD" w:rsidRDefault="008F3E59">
            <w:pPr>
              <w:keepNext/>
              <w:keepLines/>
              <w:spacing w:after="0" w:line="240" w:lineRule="auto"/>
            </w:pPr>
            <w:r>
              <w:rPr>
                <w:sz w:val="18"/>
              </w:rPr>
              <w:t>Intelektualne i osobne usluge</w:t>
            </w:r>
          </w:p>
        </w:tc>
        <w:tc>
          <w:tcPr>
            <w:tcW w:w="700" w:type="dxa"/>
            <w:tcMar>
              <w:top w:w="0" w:type="dxa"/>
              <w:bottom w:w="0" w:type="dxa"/>
            </w:tcMar>
            <w:vAlign w:val="center"/>
          </w:tcPr>
          <w:p w:rsidR="007210AD" w:rsidRDefault="008F3E59">
            <w:pPr>
              <w:keepNext/>
              <w:keepLines/>
              <w:spacing w:after="0" w:line="240" w:lineRule="auto"/>
            </w:pPr>
            <w:r>
              <w:rPr>
                <w:sz w:val="18"/>
              </w:rPr>
              <w:t>3237</w:t>
            </w:r>
          </w:p>
        </w:tc>
        <w:tc>
          <w:tcPr>
            <w:tcW w:w="1860" w:type="dxa"/>
            <w:tcMar>
              <w:top w:w="0" w:type="dxa"/>
              <w:bottom w:w="0" w:type="dxa"/>
            </w:tcMar>
            <w:vAlign w:val="center"/>
          </w:tcPr>
          <w:p w:rsidR="007210AD" w:rsidRDefault="008F3E59">
            <w:pPr>
              <w:keepNext/>
              <w:keepLines/>
              <w:spacing w:after="0" w:line="240" w:lineRule="auto"/>
              <w:jc w:val="right"/>
            </w:pPr>
            <w:r>
              <w:rPr>
                <w:sz w:val="18"/>
              </w:rPr>
              <w:t>2.785,64</w:t>
            </w:r>
          </w:p>
        </w:tc>
        <w:tc>
          <w:tcPr>
            <w:tcW w:w="1860" w:type="dxa"/>
            <w:tcMar>
              <w:top w:w="0" w:type="dxa"/>
              <w:bottom w:w="0" w:type="dxa"/>
            </w:tcMar>
            <w:vAlign w:val="center"/>
          </w:tcPr>
          <w:p w:rsidR="007210AD" w:rsidRDefault="008F3E59">
            <w:pPr>
              <w:keepNext/>
              <w:keepLines/>
              <w:spacing w:after="0" w:line="240" w:lineRule="auto"/>
              <w:jc w:val="right"/>
            </w:pPr>
            <w:r>
              <w:rPr>
                <w:sz w:val="18"/>
              </w:rPr>
              <w:t>2.442,75</w:t>
            </w:r>
          </w:p>
        </w:tc>
        <w:tc>
          <w:tcPr>
            <w:tcW w:w="700" w:type="dxa"/>
            <w:tcMar>
              <w:top w:w="0" w:type="dxa"/>
              <w:bottom w:w="0" w:type="dxa"/>
            </w:tcMar>
            <w:vAlign w:val="center"/>
          </w:tcPr>
          <w:p w:rsidR="007210AD" w:rsidRDefault="008F3E59">
            <w:pPr>
              <w:keepNext/>
              <w:keepLines/>
              <w:spacing w:after="0" w:line="240" w:lineRule="auto"/>
              <w:jc w:val="right"/>
            </w:pPr>
            <w:r>
              <w:rPr>
                <w:sz w:val="18"/>
              </w:rPr>
              <w:t>87,7</w:t>
            </w:r>
          </w:p>
        </w:tc>
      </w:tr>
    </w:tbl>
    <w:p w:rsidR="007210AD" w:rsidRDefault="007210AD">
      <w:pPr>
        <w:spacing w:after="0"/>
      </w:pPr>
    </w:p>
    <w:p w:rsidR="007210AD" w:rsidRDefault="008F3E59">
      <w:r>
        <w:t>Intelektualne i osobne usluge ostvarene su u iznosu od 2.442,75 eura što je 12,3% manje u odnosu na isto razdoblje prethodnog izvještajnog razdoblja. Razlog smanjenju troškova je ugovor o djelu za izlučivanje arhivske građe što smo izvršili u istom razdoblju 2024. godine.</w:t>
      </w:r>
    </w:p>
    <w:p w:rsidR="007210AD" w:rsidRDefault="007210AD"/>
    <w:p w:rsidR="007210AD" w:rsidRDefault="008F3E5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3295</w:t>
            </w:r>
          </w:p>
        </w:tc>
        <w:tc>
          <w:tcPr>
            <w:tcW w:w="3180" w:type="dxa"/>
            <w:tcMar>
              <w:top w:w="0" w:type="dxa"/>
              <w:bottom w:w="0" w:type="dxa"/>
            </w:tcMar>
            <w:vAlign w:val="center"/>
          </w:tcPr>
          <w:p w:rsidR="007210AD" w:rsidRDefault="008F3E59">
            <w:pPr>
              <w:keepNext/>
              <w:keepLines/>
              <w:spacing w:after="0" w:line="240" w:lineRule="auto"/>
            </w:pPr>
            <w:r>
              <w:rPr>
                <w:sz w:val="18"/>
              </w:rPr>
              <w:t>Pristojbe i naknade</w:t>
            </w:r>
          </w:p>
        </w:tc>
        <w:tc>
          <w:tcPr>
            <w:tcW w:w="700" w:type="dxa"/>
            <w:tcMar>
              <w:top w:w="0" w:type="dxa"/>
              <w:bottom w:w="0" w:type="dxa"/>
            </w:tcMar>
            <w:vAlign w:val="center"/>
          </w:tcPr>
          <w:p w:rsidR="007210AD" w:rsidRDefault="008F3E59">
            <w:pPr>
              <w:keepNext/>
              <w:keepLines/>
              <w:spacing w:after="0" w:line="240" w:lineRule="auto"/>
            </w:pPr>
            <w:r>
              <w:rPr>
                <w:sz w:val="18"/>
              </w:rPr>
              <w:t>3295</w:t>
            </w:r>
          </w:p>
        </w:tc>
        <w:tc>
          <w:tcPr>
            <w:tcW w:w="1860" w:type="dxa"/>
            <w:tcMar>
              <w:top w:w="0" w:type="dxa"/>
              <w:bottom w:w="0" w:type="dxa"/>
            </w:tcMar>
            <w:vAlign w:val="center"/>
          </w:tcPr>
          <w:p w:rsidR="007210AD" w:rsidRDefault="008F3E59">
            <w:pPr>
              <w:keepNext/>
              <w:keepLines/>
              <w:spacing w:after="0" w:line="240" w:lineRule="auto"/>
              <w:jc w:val="right"/>
            </w:pPr>
            <w:r>
              <w:rPr>
                <w:sz w:val="18"/>
              </w:rPr>
              <w:t>3.483,95</w:t>
            </w:r>
          </w:p>
        </w:tc>
        <w:tc>
          <w:tcPr>
            <w:tcW w:w="1860" w:type="dxa"/>
            <w:tcMar>
              <w:top w:w="0" w:type="dxa"/>
              <w:bottom w:w="0" w:type="dxa"/>
            </w:tcMar>
            <w:vAlign w:val="center"/>
          </w:tcPr>
          <w:p w:rsidR="007210AD" w:rsidRDefault="008F3E59">
            <w:pPr>
              <w:keepNext/>
              <w:keepLines/>
              <w:spacing w:after="0" w:line="240" w:lineRule="auto"/>
              <w:jc w:val="right"/>
            </w:pPr>
            <w:r>
              <w:rPr>
                <w:sz w:val="18"/>
              </w:rPr>
              <w:t>1.913,66</w:t>
            </w:r>
          </w:p>
        </w:tc>
        <w:tc>
          <w:tcPr>
            <w:tcW w:w="700" w:type="dxa"/>
            <w:tcMar>
              <w:top w:w="0" w:type="dxa"/>
              <w:bottom w:w="0" w:type="dxa"/>
            </w:tcMar>
            <w:vAlign w:val="center"/>
          </w:tcPr>
          <w:p w:rsidR="007210AD" w:rsidRDefault="008F3E59">
            <w:pPr>
              <w:keepNext/>
              <w:keepLines/>
              <w:spacing w:after="0" w:line="240" w:lineRule="auto"/>
              <w:jc w:val="right"/>
            </w:pPr>
            <w:r>
              <w:rPr>
                <w:sz w:val="18"/>
              </w:rPr>
              <w:t>54,9</w:t>
            </w:r>
          </w:p>
        </w:tc>
      </w:tr>
    </w:tbl>
    <w:p w:rsidR="007210AD" w:rsidRDefault="007210AD">
      <w:pPr>
        <w:spacing w:after="0"/>
      </w:pPr>
    </w:p>
    <w:p w:rsidR="007210AD" w:rsidRDefault="008F3E59">
      <w:r>
        <w:t>Pristojbe i naknade ostvarene su u iznosu od 1.913,66 eura, odnosno 35,1% manje nego u istom razdoblju prethodnog izvještajnog razdoblja.  Razlog smanjenju troškova je taj što u odnosu na isto razdoblje 2024. godine plaćamo novčanu naknadu zbog nezapošljavanja određene kvote osoba s invaliditetom za jednu osobu, dok smo u istom razdoblju 2024. godine plaćali naknadu za dvije osobe. Također, od mjeseca studenog ne plaćamo navedenu naknadu jer imamo zaposlen potreban broj invalida.</w:t>
      </w:r>
    </w:p>
    <w:p w:rsidR="007210AD" w:rsidRDefault="007210AD"/>
    <w:p w:rsidR="007210AD" w:rsidRDefault="008F3E59">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3299</w:t>
            </w:r>
          </w:p>
        </w:tc>
        <w:tc>
          <w:tcPr>
            <w:tcW w:w="3180" w:type="dxa"/>
            <w:tcMar>
              <w:top w:w="0" w:type="dxa"/>
              <w:bottom w:w="0" w:type="dxa"/>
            </w:tcMar>
            <w:vAlign w:val="center"/>
          </w:tcPr>
          <w:p w:rsidR="007210AD" w:rsidRDefault="008F3E59">
            <w:pPr>
              <w:keepNext/>
              <w:keepLines/>
              <w:spacing w:after="0" w:line="240" w:lineRule="auto"/>
            </w:pPr>
            <w:r>
              <w:rPr>
                <w:sz w:val="18"/>
              </w:rPr>
              <w:t>Ostali nespomenuti rashodi poslovanja</w:t>
            </w:r>
          </w:p>
        </w:tc>
        <w:tc>
          <w:tcPr>
            <w:tcW w:w="700" w:type="dxa"/>
            <w:tcMar>
              <w:top w:w="0" w:type="dxa"/>
              <w:bottom w:w="0" w:type="dxa"/>
            </w:tcMar>
            <w:vAlign w:val="center"/>
          </w:tcPr>
          <w:p w:rsidR="007210AD" w:rsidRDefault="008F3E59">
            <w:pPr>
              <w:keepNext/>
              <w:keepLines/>
              <w:spacing w:after="0" w:line="240" w:lineRule="auto"/>
            </w:pPr>
            <w:r>
              <w:rPr>
                <w:sz w:val="18"/>
              </w:rPr>
              <w:t>3299</w:t>
            </w:r>
          </w:p>
        </w:tc>
        <w:tc>
          <w:tcPr>
            <w:tcW w:w="1860" w:type="dxa"/>
            <w:tcMar>
              <w:top w:w="0" w:type="dxa"/>
              <w:bottom w:w="0" w:type="dxa"/>
            </w:tcMar>
            <w:vAlign w:val="center"/>
          </w:tcPr>
          <w:p w:rsidR="007210AD" w:rsidRDefault="008F3E59">
            <w:pPr>
              <w:keepNext/>
              <w:keepLines/>
              <w:spacing w:after="0" w:line="240" w:lineRule="auto"/>
              <w:jc w:val="right"/>
            </w:pPr>
            <w:r>
              <w:rPr>
                <w:sz w:val="18"/>
              </w:rPr>
              <w:t>3.056,48</w:t>
            </w:r>
          </w:p>
        </w:tc>
        <w:tc>
          <w:tcPr>
            <w:tcW w:w="1860" w:type="dxa"/>
            <w:tcMar>
              <w:top w:w="0" w:type="dxa"/>
              <w:bottom w:w="0" w:type="dxa"/>
            </w:tcMar>
            <w:vAlign w:val="center"/>
          </w:tcPr>
          <w:p w:rsidR="007210AD" w:rsidRDefault="008F3E59">
            <w:pPr>
              <w:keepNext/>
              <w:keepLines/>
              <w:spacing w:after="0" w:line="240" w:lineRule="auto"/>
              <w:jc w:val="right"/>
            </w:pPr>
            <w:r>
              <w:rPr>
                <w:sz w:val="18"/>
              </w:rPr>
              <w:t>2.360,13</w:t>
            </w:r>
          </w:p>
        </w:tc>
        <w:tc>
          <w:tcPr>
            <w:tcW w:w="700" w:type="dxa"/>
            <w:tcMar>
              <w:top w:w="0" w:type="dxa"/>
              <w:bottom w:w="0" w:type="dxa"/>
            </w:tcMar>
            <w:vAlign w:val="center"/>
          </w:tcPr>
          <w:p w:rsidR="007210AD" w:rsidRDefault="008F3E59">
            <w:pPr>
              <w:keepNext/>
              <w:keepLines/>
              <w:spacing w:after="0" w:line="240" w:lineRule="auto"/>
              <w:jc w:val="right"/>
            </w:pPr>
            <w:r>
              <w:rPr>
                <w:sz w:val="18"/>
              </w:rPr>
              <w:t>77,2</w:t>
            </w:r>
          </w:p>
        </w:tc>
      </w:tr>
    </w:tbl>
    <w:p w:rsidR="007210AD" w:rsidRDefault="007210AD">
      <w:pPr>
        <w:spacing w:after="0"/>
      </w:pPr>
    </w:p>
    <w:p w:rsidR="007210AD" w:rsidRDefault="008F3E59">
      <w:r>
        <w:t>Ostali nespomenuti rashodi poslovanja ostvareni su u iznosu od 2.360,13 eura, odnosno 22,8% više nego u istom razdoblju prethodnog izvještajnog razdoblja.  Na povećanje rashoda utjecali su troškovi Škole u prirodi i poduke neplivača u Orahovici kojih u istom razdoblju 2024. godine nije bilo.</w:t>
      </w:r>
    </w:p>
    <w:p w:rsidR="007210AD" w:rsidRDefault="007210AD"/>
    <w:p w:rsidR="007210AD" w:rsidRDefault="008F3E5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3611</w:t>
            </w:r>
          </w:p>
        </w:tc>
        <w:tc>
          <w:tcPr>
            <w:tcW w:w="3180" w:type="dxa"/>
            <w:tcMar>
              <w:top w:w="0" w:type="dxa"/>
              <w:bottom w:w="0" w:type="dxa"/>
            </w:tcMar>
            <w:vAlign w:val="center"/>
          </w:tcPr>
          <w:p w:rsidR="007210AD" w:rsidRDefault="008F3E59">
            <w:pPr>
              <w:keepNext/>
              <w:keepLines/>
              <w:spacing w:after="0" w:line="240" w:lineRule="auto"/>
            </w:pPr>
            <w:r>
              <w:rPr>
                <w:sz w:val="18"/>
              </w:rPr>
              <w:t>Tekuće pomoći inozemnim vladama</w:t>
            </w:r>
          </w:p>
        </w:tc>
        <w:tc>
          <w:tcPr>
            <w:tcW w:w="700" w:type="dxa"/>
            <w:tcMar>
              <w:top w:w="0" w:type="dxa"/>
              <w:bottom w:w="0" w:type="dxa"/>
            </w:tcMar>
            <w:vAlign w:val="center"/>
          </w:tcPr>
          <w:p w:rsidR="007210AD" w:rsidRDefault="008F3E59">
            <w:pPr>
              <w:keepNext/>
              <w:keepLines/>
              <w:spacing w:after="0" w:line="240" w:lineRule="auto"/>
            </w:pPr>
            <w:r>
              <w:rPr>
                <w:sz w:val="18"/>
              </w:rPr>
              <w:t>3611</w:t>
            </w:r>
          </w:p>
        </w:tc>
        <w:tc>
          <w:tcPr>
            <w:tcW w:w="1860" w:type="dxa"/>
            <w:tcMar>
              <w:top w:w="0" w:type="dxa"/>
              <w:bottom w:w="0" w:type="dxa"/>
            </w:tcMar>
            <w:vAlign w:val="center"/>
          </w:tcPr>
          <w:p w:rsidR="007210AD" w:rsidRDefault="008F3E59">
            <w:pPr>
              <w:keepNext/>
              <w:keepLines/>
              <w:spacing w:after="0" w:line="240" w:lineRule="auto"/>
              <w:jc w:val="right"/>
            </w:pPr>
            <w:r>
              <w:rPr>
                <w:sz w:val="18"/>
              </w:rPr>
              <w:t>9.600,29</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t>Trošak tekućih pomoći inozemnim vladama ostvaren je u iznosu od 0,00 eura. U istom razdoblju prethodnog izvještajnog razdoblja imali smo isplate partneru iz Norveške prema Partnerskom sporazumu, a u okviru EU projekta „STEM-moje obrazovanje“.</w:t>
      </w:r>
    </w:p>
    <w:p w:rsidR="007210AD" w:rsidRDefault="007210AD"/>
    <w:p w:rsidR="007210AD" w:rsidRDefault="008F3E5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96</w:t>
            </w:r>
          </w:p>
        </w:tc>
        <w:tc>
          <w:tcPr>
            <w:tcW w:w="3180" w:type="dxa"/>
            <w:tcMar>
              <w:top w:w="0" w:type="dxa"/>
              <w:bottom w:w="0" w:type="dxa"/>
            </w:tcMar>
            <w:vAlign w:val="center"/>
          </w:tcPr>
          <w:p w:rsidR="007210AD" w:rsidRDefault="008F3E59">
            <w:pPr>
              <w:keepNext/>
              <w:keepLines/>
              <w:spacing w:after="0" w:line="240" w:lineRule="auto"/>
            </w:pPr>
            <w:r>
              <w:rPr>
                <w:sz w:val="18"/>
              </w:rPr>
              <w:t>Obračunati prihodi poslovanja - nenaplaćeni</w:t>
            </w:r>
          </w:p>
        </w:tc>
        <w:tc>
          <w:tcPr>
            <w:tcW w:w="700" w:type="dxa"/>
            <w:tcMar>
              <w:top w:w="0" w:type="dxa"/>
              <w:bottom w:w="0" w:type="dxa"/>
            </w:tcMar>
            <w:vAlign w:val="center"/>
          </w:tcPr>
          <w:p w:rsidR="007210AD" w:rsidRDefault="008F3E59">
            <w:pPr>
              <w:keepNext/>
              <w:keepLines/>
              <w:spacing w:after="0" w:line="240" w:lineRule="auto"/>
            </w:pPr>
            <w:r>
              <w:rPr>
                <w:sz w:val="18"/>
              </w:rPr>
              <w:t>96</w:t>
            </w:r>
          </w:p>
        </w:tc>
        <w:tc>
          <w:tcPr>
            <w:tcW w:w="1860" w:type="dxa"/>
            <w:tcMar>
              <w:top w:w="0" w:type="dxa"/>
              <w:bottom w:w="0" w:type="dxa"/>
            </w:tcMar>
            <w:vAlign w:val="center"/>
          </w:tcPr>
          <w:p w:rsidR="007210AD" w:rsidRDefault="008F3E59">
            <w:pPr>
              <w:keepNext/>
              <w:keepLines/>
              <w:spacing w:after="0" w:line="240" w:lineRule="auto"/>
              <w:jc w:val="right"/>
            </w:pPr>
            <w:r>
              <w:rPr>
                <w:sz w:val="18"/>
              </w:rPr>
              <w:t>118,00</w:t>
            </w:r>
          </w:p>
        </w:tc>
        <w:tc>
          <w:tcPr>
            <w:tcW w:w="1860" w:type="dxa"/>
            <w:tcMar>
              <w:top w:w="0" w:type="dxa"/>
              <w:bottom w:w="0" w:type="dxa"/>
            </w:tcMar>
            <w:vAlign w:val="center"/>
          </w:tcPr>
          <w:p w:rsidR="007210AD" w:rsidRDefault="008F3E59">
            <w:pPr>
              <w:keepNext/>
              <w:keepLines/>
              <w:spacing w:after="0" w:line="240" w:lineRule="auto"/>
              <w:jc w:val="right"/>
            </w:pPr>
            <w:r>
              <w:rPr>
                <w:sz w:val="18"/>
              </w:rPr>
              <w:t>168.998,96</w:t>
            </w:r>
          </w:p>
        </w:tc>
        <w:tc>
          <w:tcPr>
            <w:tcW w:w="700" w:type="dxa"/>
            <w:tcMar>
              <w:top w:w="0" w:type="dxa"/>
              <w:bottom w:w="0" w:type="dxa"/>
            </w:tcMar>
            <w:vAlign w:val="center"/>
          </w:tcPr>
          <w:p w:rsidR="007210AD" w:rsidRDefault="008F3E59">
            <w:pPr>
              <w:keepNext/>
              <w:keepLines/>
              <w:spacing w:after="0" w:line="240" w:lineRule="auto"/>
              <w:jc w:val="right"/>
            </w:pPr>
            <w:r>
              <w:rPr>
                <w:sz w:val="18"/>
              </w:rPr>
              <w:t>&gt;&gt;100</w:t>
            </w:r>
          </w:p>
        </w:tc>
      </w:tr>
    </w:tbl>
    <w:p w:rsidR="007210AD" w:rsidRDefault="007210AD">
      <w:pPr>
        <w:spacing w:after="0"/>
      </w:pPr>
    </w:p>
    <w:p w:rsidR="007210AD" w:rsidRDefault="008F3E59">
      <w:r>
        <w:t>Obračunati prihodi poslovanja - nenaplaćeni ostvareni su u iznosu od 168.998,96 eura.  Razlog je što se od 2025. godine knjiži potraživanje za prihode poslovanja i obračunati prihodi poslovanja osim za nadležni proračun. Obračunati prihodi poslovanja - nenaplaćeni odnose se na trošak plaće za prosinac 2025. godine i zatvorit će se u siječnju 2026. godine kada Ministarstvo znanosti, obrazovanja i mladih isplati plaću za prosinac 2025. godine.</w:t>
      </w:r>
    </w:p>
    <w:p w:rsidR="007210AD" w:rsidRDefault="007210AD"/>
    <w:p w:rsidR="007210AD" w:rsidRDefault="008F3E59">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4221</w:t>
            </w:r>
          </w:p>
        </w:tc>
        <w:tc>
          <w:tcPr>
            <w:tcW w:w="3180" w:type="dxa"/>
            <w:tcMar>
              <w:top w:w="0" w:type="dxa"/>
              <w:bottom w:w="0" w:type="dxa"/>
            </w:tcMar>
            <w:vAlign w:val="center"/>
          </w:tcPr>
          <w:p w:rsidR="007210AD" w:rsidRDefault="008F3E59">
            <w:pPr>
              <w:keepNext/>
              <w:keepLines/>
              <w:spacing w:after="0" w:line="240" w:lineRule="auto"/>
            </w:pPr>
            <w:r>
              <w:rPr>
                <w:sz w:val="18"/>
              </w:rPr>
              <w:t>Uredska oprema i namještaj</w:t>
            </w:r>
          </w:p>
        </w:tc>
        <w:tc>
          <w:tcPr>
            <w:tcW w:w="700" w:type="dxa"/>
            <w:tcMar>
              <w:top w:w="0" w:type="dxa"/>
              <w:bottom w:w="0" w:type="dxa"/>
            </w:tcMar>
            <w:vAlign w:val="center"/>
          </w:tcPr>
          <w:p w:rsidR="007210AD" w:rsidRDefault="008F3E59">
            <w:pPr>
              <w:keepNext/>
              <w:keepLines/>
              <w:spacing w:after="0" w:line="240" w:lineRule="auto"/>
            </w:pPr>
            <w:r>
              <w:rPr>
                <w:sz w:val="18"/>
              </w:rPr>
              <w:t>4221</w:t>
            </w:r>
          </w:p>
        </w:tc>
        <w:tc>
          <w:tcPr>
            <w:tcW w:w="1860" w:type="dxa"/>
            <w:tcMar>
              <w:top w:w="0" w:type="dxa"/>
              <w:bottom w:w="0" w:type="dxa"/>
            </w:tcMar>
            <w:vAlign w:val="center"/>
          </w:tcPr>
          <w:p w:rsidR="007210AD" w:rsidRDefault="008F3E59">
            <w:pPr>
              <w:keepNext/>
              <w:keepLines/>
              <w:spacing w:after="0" w:line="240" w:lineRule="auto"/>
              <w:jc w:val="right"/>
            </w:pPr>
            <w:r>
              <w:rPr>
                <w:sz w:val="18"/>
              </w:rPr>
              <w:t>4.306,55</w:t>
            </w:r>
          </w:p>
        </w:tc>
        <w:tc>
          <w:tcPr>
            <w:tcW w:w="1860" w:type="dxa"/>
            <w:tcMar>
              <w:top w:w="0" w:type="dxa"/>
              <w:bottom w:w="0" w:type="dxa"/>
            </w:tcMar>
            <w:vAlign w:val="center"/>
          </w:tcPr>
          <w:p w:rsidR="007210AD" w:rsidRDefault="008F3E59">
            <w:pPr>
              <w:keepNext/>
              <w:keepLines/>
              <w:spacing w:after="0" w:line="240" w:lineRule="auto"/>
              <w:jc w:val="right"/>
            </w:pPr>
            <w:r>
              <w:rPr>
                <w:sz w:val="18"/>
              </w:rPr>
              <w:t>2.254,14</w:t>
            </w:r>
          </w:p>
        </w:tc>
        <w:tc>
          <w:tcPr>
            <w:tcW w:w="700" w:type="dxa"/>
            <w:tcMar>
              <w:top w:w="0" w:type="dxa"/>
              <w:bottom w:w="0" w:type="dxa"/>
            </w:tcMar>
            <w:vAlign w:val="center"/>
          </w:tcPr>
          <w:p w:rsidR="007210AD" w:rsidRDefault="008F3E59">
            <w:pPr>
              <w:keepNext/>
              <w:keepLines/>
              <w:spacing w:after="0" w:line="240" w:lineRule="auto"/>
              <w:jc w:val="right"/>
            </w:pPr>
            <w:r>
              <w:rPr>
                <w:sz w:val="18"/>
              </w:rPr>
              <w:t>52,3</w:t>
            </w:r>
          </w:p>
        </w:tc>
      </w:tr>
    </w:tbl>
    <w:p w:rsidR="007210AD" w:rsidRDefault="007210AD">
      <w:pPr>
        <w:spacing w:after="0"/>
      </w:pPr>
    </w:p>
    <w:p w:rsidR="007210AD" w:rsidRDefault="008F3E59">
      <w:r>
        <w:lastRenderedPageBreak/>
        <w:t>Rashodi uredske opreme i namještaja ostvareni su u iznosu od 2.254,14 eura, odnosno 47,7% manje nego u istom razdoblju prethodnog izvještajnog razdoblja. U istom razdoblju prethodnog izvještajnog razdoblja nabava računalne opreme bila je veća u odnosu na ovo izvještajno razdoblje jer smo u prošlom izvještajnom razdoblju dobili sredstva od Ministarstva regionalnog razvoja i fondova Europske unije koja su završna isplata nakon usvajanja završnog izvješća projekta STEM-moje obrazovanje te sredstva od Agencije za mobilnost i programe EU koja su završna isplata nakon usvajanja završnog izvješća projekta Erasmus+. </w:t>
      </w:r>
    </w:p>
    <w:p w:rsidR="007210AD" w:rsidRDefault="007210AD"/>
    <w:p w:rsidR="007210AD" w:rsidRDefault="008F3E5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4223</w:t>
            </w:r>
          </w:p>
        </w:tc>
        <w:tc>
          <w:tcPr>
            <w:tcW w:w="3180" w:type="dxa"/>
            <w:tcMar>
              <w:top w:w="0" w:type="dxa"/>
              <w:bottom w:w="0" w:type="dxa"/>
            </w:tcMar>
            <w:vAlign w:val="center"/>
          </w:tcPr>
          <w:p w:rsidR="007210AD" w:rsidRDefault="008F3E59">
            <w:pPr>
              <w:keepNext/>
              <w:keepLines/>
              <w:spacing w:after="0" w:line="240" w:lineRule="auto"/>
            </w:pPr>
            <w:r>
              <w:rPr>
                <w:sz w:val="18"/>
              </w:rPr>
              <w:t>Oprema za održavanje i zaštitu</w:t>
            </w:r>
          </w:p>
        </w:tc>
        <w:tc>
          <w:tcPr>
            <w:tcW w:w="700" w:type="dxa"/>
            <w:tcMar>
              <w:top w:w="0" w:type="dxa"/>
              <w:bottom w:w="0" w:type="dxa"/>
            </w:tcMar>
            <w:vAlign w:val="center"/>
          </w:tcPr>
          <w:p w:rsidR="007210AD" w:rsidRDefault="008F3E59">
            <w:pPr>
              <w:keepNext/>
              <w:keepLines/>
              <w:spacing w:after="0" w:line="240" w:lineRule="auto"/>
            </w:pPr>
            <w:r>
              <w:rPr>
                <w:sz w:val="18"/>
              </w:rPr>
              <w:t>4223</w:t>
            </w:r>
          </w:p>
        </w:tc>
        <w:tc>
          <w:tcPr>
            <w:tcW w:w="1860" w:type="dxa"/>
            <w:tcMar>
              <w:top w:w="0" w:type="dxa"/>
              <w:bottom w:w="0" w:type="dxa"/>
            </w:tcMar>
            <w:vAlign w:val="center"/>
          </w:tcPr>
          <w:p w:rsidR="007210AD" w:rsidRDefault="008F3E59">
            <w:pPr>
              <w:keepNext/>
              <w:keepLines/>
              <w:spacing w:after="0" w:line="240" w:lineRule="auto"/>
              <w:jc w:val="right"/>
            </w:pPr>
            <w:r>
              <w:rPr>
                <w:sz w:val="18"/>
              </w:rPr>
              <w:t>3.124,94</w:t>
            </w:r>
          </w:p>
        </w:tc>
        <w:tc>
          <w:tcPr>
            <w:tcW w:w="1860" w:type="dxa"/>
            <w:tcMar>
              <w:top w:w="0" w:type="dxa"/>
              <w:bottom w:w="0" w:type="dxa"/>
            </w:tcMar>
            <w:vAlign w:val="center"/>
          </w:tcPr>
          <w:p w:rsidR="007210AD" w:rsidRDefault="008F3E59">
            <w:pPr>
              <w:keepNext/>
              <w:keepLines/>
              <w:spacing w:after="0" w:line="240" w:lineRule="auto"/>
              <w:jc w:val="right"/>
            </w:pPr>
            <w:r>
              <w:rPr>
                <w:sz w:val="18"/>
              </w:rPr>
              <w:t>2.063,03</w:t>
            </w:r>
          </w:p>
        </w:tc>
        <w:tc>
          <w:tcPr>
            <w:tcW w:w="700" w:type="dxa"/>
            <w:tcMar>
              <w:top w:w="0" w:type="dxa"/>
              <w:bottom w:w="0" w:type="dxa"/>
            </w:tcMar>
            <w:vAlign w:val="center"/>
          </w:tcPr>
          <w:p w:rsidR="007210AD" w:rsidRDefault="008F3E59">
            <w:pPr>
              <w:keepNext/>
              <w:keepLines/>
              <w:spacing w:after="0" w:line="240" w:lineRule="auto"/>
              <w:jc w:val="right"/>
            </w:pPr>
            <w:r>
              <w:rPr>
                <w:sz w:val="18"/>
              </w:rPr>
              <w:t>66,0</w:t>
            </w:r>
          </w:p>
        </w:tc>
      </w:tr>
    </w:tbl>
    <w:p w:rsidR="007210AD" w:rsidRDefault="007210AD">
      <w:pPr>
        <w:spacing w:after="0"/>
      </w:pPr>
    </w:p>
    <w:p w:rsidR="007210AD" w:rsidRDefault="008F3E59">
      <w:r>
        <w:t>Trošak opreme za održavanje i zaštitu ostvaren je u iznosu od 2.063,03 eura, odnosno 34,0% više nego u istom razdoblju prethodnog izvještajnog razdoblja. Nabavljen je jedan klima uređaj manje u odnosu na prethodnu godinu te dva klima uređaja manje snage u odnosu na nabavljene klima uređaje u prethodnoj godini. </w:t>
      </w:r>
    </w:p>
    <w:p w:rsidR="007210AD" w:rsidRDefault="007210AD"/>
    <w:p w:rsidR="007210AD" w:rsidRDefault="008F3E5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4226</w:t>
            </w:r>
          </w:p>
        </w:tc>
        <w:tc>
          <w:tcPr>
            <w:tcW w:w="3180" w:type="dxa"/>
            <w:tcMar>
              <w:top w:w="0" w:type="dxa"/>
              <w:bottom w:w="0" w:type="dxa"/>
            </w:tcMar>
            <w:vAlign w:val="center"/>
          </w:tcPr>
          <w:p w:rsidR="007210AD" w:rsidRDefault="008F3E59">
            <w:pPr>
              <w:keepNext/>
              <w:keepLines/>
              <w:spacing w:after="0" w:line="240" w:lineRule="auto"/>
            </w:pPr>
            <w:r>
              <w:rPr>
                <w:sz w:val="18"/>
              </w:rPr>
              <w:t>Sportska i glazbena oprema</w:t>
            </w:r>
          </w:p>
        </w:tc>
        <w:tc>
          <w:tcPr>
            <w:tcW w:w="700" w:type="dxa"/>
            <w:tcMar>
              <w:top w:w="0" w:type="dxa"/>
              <w:bottom w:w="0" w:type="dxa"/>
            </w:tcMar>
            <w:vAlign w:val="center"/>
          </w:tcPr>
          <w:p w:rsidR="007210AD" w:rsidRDefault="008F3E59">
            <w:pPr>
              <w:keepNext/>
              <w:keepLines/>
              <w:spacing w:after="0" w:line="240" w:lineRule="auto"/>
            </w:pPr>
            <w:r>
              <w:rPr>
                <w:sz w:val="18"/>
              </w:rPr>
              <w:t>4226</w:t>
            </w:r>
          </w:p>
        </w:tc>
        <w:tc>
          <w:tcPr>
            <w:tcW w:w="1860" w:type="dxa"/>
            <w:tcMar>
              <w:top w:w="0" w:type="dxa"/>
              <w:bottom w:w="0" w:type="dxa"/>
            </w:tcMar>
            <w:vAlign w:val="center"/>
          </w:tcPr>
          <w:p w:rsidR="007210AD" w:rsidRDefault="008F3E59">
            <w:pPr>
              <w:keepNext/>
              <w:keepLines/>
              <w:spacing w:after="0" w:line="240" w:lineRule="auto"/>
              <w:jc w:val="right"/>
            </w:pPr>
            <w:r>
              <w:rPr>
                <w:sz w:val="18"/>
              </w:rPr>
              <w:t>1.666,16</w:t>
            </w:r>
          </w:p>
        </w:tc>
        <w:tc>
          <w:tcPr>
            <w:tcW w:w="1860" w:type="dxa"/>
            <w:tcMar>
              <w:top w:w="0" w:type="dxa"/>
              <w:bottom w:w="0" w:type="dxa"/>
            </w:tcMar>
            <w:vAlign w:val="center"/>
          </w:tcPr>
          <w:p w:rsidR="007210AD" w:rsidRDefault="008F3E59">
            <w:pPr>
              <w:keepNext/>
              <w:keepLines/>
              <w:spacing w:after="0" w:line="240" w:lineRule="auto"/>
              <w:jc w:val="right"/>
            </w:pPr>
            <w:r>
              <w:rPr>
                <w:sz w:val="18"/>
              </w:rPr>
              <w:t>554,49</w:t>
            </w:r>
          </w:p>
        </w:tc>
        <w:tc>
          <w:tcPr>
            <w:tcW w:w="700" w:type="dxa"/>
            <w:tcMar>
              <w:top w:w="0" w:type="dxa"/>
              <w:bottom w:w="0" w:type="dxa"/>
            </w:tcMar>
            <w:vAlign w:val="center"/>
          </w:tcPr>
          <w:p w:rsidR="007210AD" w:rsidRDefault="008F3E59">
            <w:pPr>
              <w:keepNext/>
              <w:keepLines/>
              <w:spacing w:after="0" w:line="240" w:lineRule="auto"/>
              <w:jc w:val="right"/>
            </w:pPr>
            <w:r>
              <w:rPr>
                <w:sz w:val="18"/>
              </w:rPr>
              <w:t>33,3</w:t>
            </w:r>
          </w:p>
        </w:tc>
      </w:tr>
    </w:tbl>
    <w:p w:rsidR="007210AD" w:rsidRDefault="007210AD">
      <w:pPr>
        <w:spacing w:after="0"/>
      </w:pPr>
    </w:p>
    <w:p w:rsidR="007210AD" w:rsidRDefault="008F3E59">
      <w:r>
        <w:t>Troškovi sportske i glazbene opreme ostvareni su u iznosu od 554,49 eura, odnosno 72,7% manje nego u istom razdoblju prethodnog izvještajnog razdoblja. Razlog je nabava stalka i mreže za odbojku te mikrofona i zvučnika u istom razdoblju prethodnog izvještajnog razdoblja.</w:t>
      </w:r>
    </w:p>
    <w:p w:rsidR="007210AD" w:rsidRDefault="007210AD"/>
    <w:p w:rsidR="007210AD" w:rsidRDefault="008F3E59">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4227</w:t>
            </w:r>
          </w:p>
        </w:tc>
        <w:tc>
          <w:tcPr>
            <w:tcW w:w="3180" w:type="dxa"/>
            <w:tcMar>
              <w:top w:w="0" w:type="dxa"/>
              <w:bottom w:w="0" w:type="dxa"/>
            </w:tcMar>
            <w:vAlign w:val="center"/>
          </w:tcPr>
          <w:p w:rsidR="007210AD" w:rsidRDefault="008F3E59">
            <w:pPr>
              <w:keepNext/>
              <w:keepLines/>
              <w:spacing w:after="0" w:line="240" w:lineRule="auto"/>
            </w:pPr>
            <w:r>
              <w:rPr>
                <w:sz w:val="18"/>
              </w:rPr>
              <w:t>Uređaji, strojevi i oprema za ostale namjene</w:t>
            </w:r>
          </w:p>
        </w:tc>
        <w:tc>
          <w:tcPr>
            <w:tcW w:w="700" w:type="dxa"/>
            <w:tcMar>
              <w:top w:w="0" w:type="dxa"/>
              <w:bottom w:w="0" w:type="dxa"/>
            </w:tcMar>
            <w:vAlign w:val="center"/>
          </w:tcPr>
          <w:p w:rsidR="007210AD" w:rsidRDefault="008F3E59">
            <w:pPr>
              <w:keepNext/>
              <w:keepLines/>
              <w:spacing w:after="0" w:line="240" w:lineRule="auto"/>
            </w:pPr>
            <w:r>
              <w:rPr>
                <w:sz w:val="18"/>
              </w:rPr>
              <w:t>4227</w:t>
            </w:r>
          </w:p>
        </w:tc>
        <w:tc>
          <w:tcPr>
            <w:tcW w:w="1860" w:type="dxa"/>
            <w:tcMar>
              <w:top w:w="0" w:type="dxa"/>
              <w:bottom w:w="0" w:type="dxa"/>
            </w:tcMar>
            <w:vAlign w:val="center"/>
          </w:tcPr>
          <w:p w:rsidR="007210AD" w:rsidRDefault="008F3E59">
            <w:pPr>
              <w:keepNext/>
              <w:keepLines/>
              <w:spacing w:after="0" w:line="240" w:lineRule="auto"/>
              <w:jc w:val="right"/>
            </w:pPr>
            <w:r>
              <w:rPr>
                <w:sz w:val="18"/>
              </w:rPr>
              <w:t>761,37</w:t>
            </w:r>
          </w:p>
        </w:tc>
        <w:tc>
          <w:tcPr>
            <w:tcW w:w="1860" w:type="dxa"/>
            <w:tcMar>
              <w:top w:w="0" w:type="dxa"/>
              <w:bottom w:w="0" w:type="dxa"/>
            </w:tcMar>
            <w:vAlign w:val="center"/>
          </w:tcPr>
          <w:p w:rsidR="007210AD" w:rsidRDefault="008F3E59">
            <w:pPr>
              <w:keepNext/>
              <w:keepLines/>
              <w:spacing w:after="0" w:line="240" w:lineRule="auto"/>
              <w:jc w:val="right"/>
            </w:pPr>
            <w:r>
              <w:rPr>
                <w:sz w:val="18"/>
              </w:rPr>
              <w:t>6.320,26</w:t>
            </w:r>
          </w:p>
        </w:tc>
        <w:tc>
          <w:tcPr>
            <w:tcW w:w="700" w:type="dxa"/>
            <w:tcMar>
              <w:top w:w="0" w:type="dxa"/>
              <w:bottom w:w="0" w:type="dxa"/>
            </w:tcMar>
            <w:vAlign w:val="center"/>
          </w:tcPr>
          <w:p w:rsidR="007210AD" w:rsidRDefault="008F3E59">
            <w:pPr>
              <w:keepNext/>
              <w:keepLines/>
              <w:spacing w:after="0" w:line="240" w:lineRule="auto"/>
              <w:jc w:val="right"/>
            </w:pPr>
            <w:r>
              <w:rPr>
                <w:sz w:val="18"/>
              </w:rPr>
              <w:t>830,1</w:t>
            </w:r>
          </w:p>
        </w:tc>
      </w:tr>
    </w:tbl>
    <w:p w:rsidR="007210AD" w:rsidRDefault="007210AD">
      <w:pPr>
        <w:spacing w:after="0"/>
      </w:pPr>
    </w:p>
    <w:p w:rsidR="007210AD" w:rsidRDefault="008F3E59">
      <w:r>
        <w:t>Trošak uređaja, strojeva i opreme ostvaren je u iznosu od 6.320,26 eura. Razlog znatnog povećanje u odnosu na isto razdoblje prethodnog izvještajnog razdoblja je nabava traktorske kosilice i dvije samohodne kosilice te nabava konvekcijske pećnice za potrebe kuhinje.</w:t>
      </w:r>
    </w:p>
    <w:p w:rsidR="007210AD" w:rsidRDefault="007210AD"/>
    <w:p w:rsidR="007210AD" w:rsidRDefault="008F3E59">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4241</w:t>
            </w:r>
          </w:p>
        </w:tc>
        <w:tc>
          <w:tcPr>
            <w:tcW w:w="3180" w:type="dxa"/>
            <w:tcMar>
              <w:top w:w="0" w:type="dxa"/>
              <w:bottom w:w="0" w:type="dxa"/>
            </w:tcMar>
            <w:vAlign w:val="center"/>
          </w:tcPr>
          <w:p w:rsidR="007210AD" w:rsidRDefault="008F3E59">
            <w:pPr>
              <w:keepNext/>
              <w:keepLines/>
              <w:spacing w:after="0" w:line="240" w:lineRule="auto"/>
            </w:pPr>
            <w:r>
              <w:rPr>
                <w:sz w:val="18"/>
              </w:rPr>
              <w:t>Knjige</w:t>
            </w:r>
          </w:p>
        </w:tc>
        <w:tc>
          <w:tcPr>
            <w:tcW w:w="700" w:type="dxa"/>
            <w:tcMar>
              <w:top w:w="0" w:type="dxa"/>
              <w:bottom w:w="0" w:type="dxa"/>
            </w:tcMar>
            <w:vAlign w:val="center"/>
          </w:tcPr>
          <w:p w:rsidR="007210AD" w:rsidRDefault="008F3E59">
            <w:pPr>
              <w:keepNext/>
              <w:keepLines/>
              <w:spacing w:after="0" w:line="240" w:lineRule="auto"/>
            </w:pPr>
            <w:r>
              <w:rPr>
                <w:sz w:val="18"/>
              </w:rPr>
              <w:t>4241</w:t>
            </w:r>
          </w:p>
        </w:tc>
        <w:tc>
          <w:tcPr>
            <w:tcW w:w="1860" w:type="dxa"/>
            <w:tcMar>
              <w:top w:w="0" w:type="dxa"/>
              <w:bottom w:w="0" w:type="dxa"/>
            </w:tcMar>
            <w:vAlign w:val="center"/>
          </w:tcPr>
          <w:p w:rsidR="007210AD" w:rsidRDefault="008F3E59">
            <w:pPr>
              <w:keepNext/>
              <w:keepLines/>
              <w:spacing w:after="0" w:line="240" w:lineRule="auto"/>
              <w:jc w:val="right"/>
            </w:pPr>
            <w:r>
              <w:rPr>
                <w:sz w:val="18"/>
              </w:rPr>
              <w:t>2.795,22</w:t>
            </w:r>
          </w:p>
        </w:tc>
        <w:tc>
          <w:tcPr>
            <w:tcW w:w="1860" w:type="dxa"/>
            <w:tcMar>
              <w:top w:w="0" w:type="dxa"/>
              <w:bottom w:w="0" w:type="dxa"/>
            </w:tcMar>
            <w:vAlign w:val="center"/>
          </w:tcPr>
          <w:p w:rsidR="007210AD" w:rsidRDefault="008F3E59">
            <w:pPr>
              <w:keepNext/>
              <w:keepLines/>
              <w:spacing w:after="0" w:line="240" w:lineRule="auto"/>
              <w:jc w:val="right"/>
            </w:pPr>
            <w:r>
              <w:rPr>
                <w:sz w:val="18"/>
              </w:rPr>
              <w:t>8.057,32</w:t>
            </w:r>
          </w:p>
        </w:tc>
        <w:tc>
          <w:tcPr>
            <w:tcW w:w="700" w:type="dxa"/>
            <w:tcMar>
              <w:top w:w="0" w:type="dxa"/>
              <w:bottom w:w="0" w:type="dxa"/>
            </w:tcMar>
            <w:vAlign w:val="center"/>
          </w:tcPr>
          <w:p w:rsidR="007210AD" w:rsidRDefault="008F3E59">
            <w:pPr>
              <w:keepNext/>
              <w:keepLines/>
              <w:spacing w:after="0" w:line="240" w:lineRule="auto"/>
              <w:jc w:val="right"/>
            </w:pPr>
            <w:r>
              <w:rPr>
                <w:sz w:val="18"/>
              </w:rPr>
              <w:t>288,3</w:t>
            </w:r>
          </w:p>
        </w:tc>
      </w:tr>
    </w:tbl>
    <w:p w:rsidR="007210AD" w:rsidRDefault="007210AD">
      <w:pPr>
        <w:spacing w:after="0"/>
      </w:pPr>
    </w:p>
    <w:p w:rsidR="007210AD" w:rsidRDefault="008F3E59">
      <w:r>
        <w:t>Trošak za knjige iznosi 8.057,32 eura što je za 188,3% više nego u istom razdoblju prošlog izvještajnog razdoblja.  Veći je zbog povećanog opsega nabave udžbenika za učenike.</w:t>
      </w:r>
    </w:p>
    <w:p w:rsidR="007210AD" w:rsidRDefault="007210AD"/>
    <w:p w:rsidR="007210AD" w:rsidRDefault="008F3E5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7210AD" w:rsidRDefault="008F3E59">
            <w:pPr>
              <w:keepNext/>
              <w:keepLines/>
              <w:spacing w:after="0" w:line="240" w:lineRule="auto"/>
            </w:pPr>
            <w:r>
              <w:rPr>
                <w:sz w:val="18"/>
              </w:rPr>
              <w:t>Y006</w:t>
            </w:r>
          </w:p>
        </w:tc>
        <w:tc>
          <w:tcPr>
            <w:tcW w:w="1860" w:type="dxa"/>
            <w:tcMar>
              <w:top w:w="0" w:type="dxa"/>
              <w:bottom w:w="0" w:type="dxa"/>
            </w:tcMar>
            <w:vAlign w:val="center"/>
          </w:tcPr>
          <w:p w:rsidR="007210AD" w:rsidRDefault="008F3E59">
            <w:pPr>
              <w:keepNext/>
              <w:keepLines/>
              <w:spacing w:after="0" w:line="240" w:lineRule="auto"/>
              <w:jc w:val="right"/>
            </w:pPr>
            <w:r>
              <w:rPr>
                <w:sz w:val="18"/>
              </w:rPr>
              <w:t>13.725,87</w:t>
            </w:r>
          </w:p>
        </w:tc>
        <w:tc>
          <w:tcPr>
            <w:tcW w:w="1860" w:type="dxa"/>
            <w:tcMar>
              <w:top w:w="0" w:type="dxa"/>
              <w:bottom w:w="0" w:type="dxa"/>
            </w:tcMar>
            <w:vAlign w:val="center"/>
          </w:tcPr>
          <w:p w:rsidR="007210AD" w:rsidRDefault="008F3E59">
            <w:pPr>
              <w:keepNext/>
              <w:keepLines/>
              <w:spacing w:after="0" w:line="240" w:lineRule="auto"/>
              <w:jc w:val="right"/>
            </w:pPr>
            <w:r>
              <w:rPr>
                <w:sz w:val="18"/>
              </w:rPr>
              <w:t>158.781,49</w:t>
            </w:r>
          </w:p>
        </w:tc>
        <w:tc>
          <w:tcPr>
            <w:tcW w:w="700" w:type="dxa"/>
            <w:tcMar>
              <w:top w:w="0" w:type="dxa"/>
              <w:bottom w:w="0" w:type="dxa"/>
            </w:tcMar>
            <w:vAlign w:val="center"/>
          </w:tcPr>
          <w:p w:rsidR="007210AD" w:rsidRDefault="008F3E59">
            <w:pPr>
              <w:keepNext/>
              <w:keepLines/>
              <w:spacing w:after="0" w:line="240" w:lineRule="auto"/>
              <w:jc w:val="right"/>
            </w:pPr>
            <w:r>
              <w:rPr>
                <w:sz w:val="18"/>
              </w:rPr>
              <w:t>1156,8</w:t>
            </w:r>
          </w:p>
        </w:tc>
      </w:tr>
    </w:tbl>
    <w:p w:rsidR="007210AD" w:rsidRDefault="007210AD">
      <w:pPr>
        <w:spacing w:after="0"/>
      </w:pPr>
    </w:p>
    <w:p w:rsidR="007210AD" w:rsidRDefault="008F3E59">
      <w:r>
        <w:t>Manjak prihoda nad rashodima (za podmirenje u slijedećem razdoblju) prema izvorima financiranja: </w:t>
      </w:r>
      <w:r>
        <w:br/>
      </w:r>
      <w:r>
        <w:br/>
        <w:t>111 OSJEČKO-BARANJSKA ŽUPANIJA                                               -1.196,42</w:t>
      </w:r>
      <w:r>
        <w:br/>
        <w:t>461 OSJEČKO-BARANJSKA ŽUPANIJA                                                     66,96</w:t>
      </w:r>
      <w:r>
        <w:br/>
        <w:t>3210 VLASTITI PRIHODI                                                                         625,91</w:t>
      </w:r>
      <w:r>
        <w:br/>
        <w:t>5212 ŠKOLSKA SHEMA                                                                          364,63</w:t>
      </w:r>
      <w:r>
        <w:br/>
        <w:t>526 UČIMO ZAJEDNO                                                                          -124,07</w:t>
      </w:r>
      <w:r>
        <w:br/>
        <w:t>5410 POMOĆI                                                                                -144.792,63</w:t>
      </w:r>
      <w:r>
        <w:br/>
        <w:t>MANJAK PRIHODA POSLOVANJA PRENESENI                                   -7.004,65</w:t>
      </w:r>
      <w:r>
        <w:br/>
        <w:t>MANJAK PRIHODA OD NEFINANCIJSKE IMOVINE PRENESENI         -6.721,22</w:t>
      </w:r>
      <w:r>
        <w:br/>
      </w:r>
      <w:r>
        <w:rPr>
          <w:b/>
        </w:rPr>
        <w:t xml:space="preserve">UKUPNO  </w:t>
      </w:r>
      <w:r>
        <w:t xml:space="preserve">                                                                                    </w:t>
      </w:r>
      <w:r>
        <w:rPr>
          <w:b/>
        </w:rPr>
        <w:t>-158.781,49</w:t>
      </w:r>
    </w:p>
    <w:p w:rsidR="007210AD" w:rsidRDefault="008F3E59">
      <w:r>
        <w:t>Manjak prihoda i primitaka za pokriće u sljedećem razdoblju je metodološki manjak i ostvaren je u iznosu od 158.781,49 eura.  Na ostvareni manjak utjecala je promjena načina knjiženja plaća tako da se plaća za prosinac više ne knjiži na kontinuirane rashode budućih razdoblja već kao trošak tekuće godine. Manjak će se zatvoriti kada Ministarstvo znanosti, obrazovanja i mladih u siječnju 2026. godine isplati plaću za prosinac 2025. godine.</w:t>
      </w:r>
    </w:p>
    <w:p w:rsidR="007210AD" w:rsidRDefault="007210AD"/>
    <w:p w:rsidR="007210AD" w:rsidRDefault="008F3E59">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19</w:t>
            </w:r>
          </w:p>
        </w:tc>
        <w:tc>
          <w:tcPr>
            <w:tcW w:w="3180" w:type="dxa"/>
            <w:tcMar>
              <w:top w:w="0" w:type="dxa"/>
              <w:bottom w:w="0" w:type="dxa"/>
            </w:tcMar>
            <w:vAlign w:val="center"/>
          </w:tcPr>
          <w:p w:rsidR="007210AD" w:rsidRDefault="008F3E59">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7210AD" w:rsidRDefault="008F3E59">
            <w:pPr>
              <w:keepNext/>
              <w:keepLines/>
              <w:spacing w:after="0" w:line="240" w:lineRule="auto"/>
            </w:pPr>
            <w:r>
              <w:rPr>
                <w:sz w:val="18"/>
              </w:rPr>
              <w:t>19</w:t>
            </w:r>
          </w:p>
        </w:tc>
        <w:tc>
          <w:tcPr>
            <w:tcW w:w="1860" w:type="dxa"/>
            <w:tcMar>
              <w:top w:w="0" w:type="dxa"/>
              <w:bottom w:w="0" w:type="dxa"/>
            </w:tcMar>
            <w:vAlign w:val="center"/>
          </w:tcPr>
          <w:p w:rsidR="007210AD" w:rsidRDefault="008F3E59">
            <w:pPr>
              <w:keepNext/>
              <w:keepLines/>
              <w:spacing w:after="0" w:line="240" w:lineRule="auto"/>
              <w:jc w:val="right"/>
            </w:pPr>
            <w:r>
              <w:rPr>
                <w:sz w:val="18"/>
              </w:rPr>
              <w:t>149.722,57</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lastRenderedPageBreak/>
        <w:t>Rashodi budućih razdoblja i nedospjela naplata prihoda (aktivna vremenska razgraničenja) iznose 0,00 eura, a razlog je što se plaća za prosinac više ne knjiži na kontinuirane rashode budućih razdoblja, već kao trošak tekućeg razdoblja.</w:t>
      </w:r>
    </w:p>
    <w:p w:rsidR="007210AD" w:rsidRDefault="007210AD"/>
    <w:p w:rsidR="007210AD" w:rsidRDefault="008F3E59">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63612</w:t>
            </w:r>
          </w:p>
        </w:tc>
        <w:tc>
          <w:tcPr>
            <w:tcW w:w="3180" w:type="dxa"/>
            <w:tcMar>
              <w:top w:w="0" w:type="dxa"/>
              <w:bottom w:w="0" w:type="dxa"/>
            </w:tcMar>
            <w:vAlign w:val="center"/>
          </w:tcPr>
          <w:p w:rsidR="007210AD" w:rsidRDefault="008F3E59">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rsidR="007210AD" w:rsidRDefault="008F3E59">
            <w:pPr>
              <w:keepNext/>
              <w:keepLines/>
              <w:spacing w:after="0" w:line="240" w:lineRule="auto"/>
            </w:pPr>
            <w:r>
              <w:rPr>
                <w:sz w:val="18"/>
              </w:rPr>
              <w:t>63612</w:t>
            </w:r>
          </w:p>
        </w:tc>
        <w:tc>
          <w:tcPr>
            <w:tcW w:w="1860" w:type="dxa"/>
            <w:tcMar>
              <w:top w:w="0" w:type="dxa"/>
              <w:bottom w:w="0" w:type="dxa"/>
            </w:tcMar>
            <w:vAlign w:val="center"/>
          </w:tcPr>
          <w:p w:rsidR="007210AD" w:rsidRDefault="008F3E59">
            <w:pPr>
              <w:keepNext/>
              <w:keepLines/>
              <w:spacing w:after="0" w:line="240" w:lineRule="auto"/>
              <w:jc w:val="right"/>
            </w:pPr>
            <w:r>
              <w:rPr>
                <w:sz w:val="18"/>
              </w:rPr>
              <w:t>1.880.288,00</w:t>
            </w:r>
          </w:p>
        </w:tc>
        <w:tc>
          <w:tcPr>
            <w:tcW w:w="1860" w:type="dxa"/>
            <w:tcMar>
              <w:top w:w="0" w:type="dxa"/>
              <w:bottom w:w="0" w:type="dxa"/>
            </w:tcMar>
            <w:vAlign w:val="center"/>
          </w:tcPr>
          <w:p w:rsidR="007210AD" w:rsidRDefault="008F3E59">
            <w:pPr>
              <w:keepNext/>
              <w:keepLines/>
              <w:spacing w:after="0" w:line="240" w:lineRule="auto"/>
              <w:jc w:val="right"/>
            </w:pPr>
            <w:r>
              <w:rPr>
                <w:sz w:val="18"/>
              </w:rPr>
              <w:t>2.040.124,72</w:t>
            </w:r>
          </w:p>
        </w:tc>
        <w:tc>
          <w:tcPr>
            <w:tcW w:w="700" w:type="dxa"/>
            <w:tcMar>
              <w:top w:w="0" w:type="dxa"/>
              <w:bottom w:w="0" w:type="dxa"/>
            </w:tcMar>
            <w:vAlign w:val="center"/>
          </w:tcPr>
          <w:p w:rsidR="007210AD" w:rsidRDefault="008F3E59">
            <w:pPr>
              <w:keepNext/>
              <w:keepLines/>
              <w:spacing w:after="0" w:line="240" w:lineRule="auto"/>
              <w:jc w:val="right"/>
            </w:pPr>
            <w:r>
              <w:rPr>
                <w:sz w:val="18"/>
              </w:rPr>
              <w:t>108,5</w:t>
            </w:r>
          </w:p>
        </w:tc>
      </w:tr>
    </w:tbl>
    <w:p w:rsidR="007210AD" w:rsidRDefault="007210AD">
      <w:pPr>
        <w:spacing w:after="0"/>
      </w:pPr>
    </w:p>
    <w:p w:rsidR="007210AD" w:rsidRDefault="008F3E59">
      <w:r>
        <w:t>Tekuće pomoći proračunskim korisnicima iz proračuna koji im nije nadležan ostvarene su u iznosu od 2.040.124,71 eura.  Sredstva su dobivena od Ministarstvo znanosti, obrazovanja i mladih – plaće i druga materijalna prava,  sredstva za nabavu radnih udžbenika (nabavljeni u 2024. i 2025. godini, a sredstva dobili u 2025. godini), sredstva za sufinanciranje prehrane učenika, sredstva za nabavu psihodijagnostičkih sredstava, sredstva za higijenske menstrualne potrepštine, sredstva za provođenje projekata "Kroz emocije do razumijevanja i prijateljstva" i "Kreativnost učenika u glazbenom i likovnom izražavanju".  Na povećanje prihoda najvećim dijelom utjecalo je povećanje osnovice za obračun plaća u državnim i javnim službama, te minuli rad djelatnika.</w:t>
      </w:r>
    </w:p>
    <w:p w:rsidR="007210AD" w:rsidRDefault="007210AD"/>
    <w:p w:rsidR="007210AD" w:rsidRDefault="008F3E59">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63613</w:t>
            </w:r>
          </w:p>
        </w:tc>
        <w:tc>
          <w:tcPr>
            <w:tcW w:w="3180" w:type="dxa"/>
            <w:tcMar>
              <w:top w:w="0" w:type="dxa"/>
              <w:bottom w:w="0" w:type="dxa"/>
            </w:tcMar>
            <w:vAlign w:val="center"/>
          </w:tcPr>
          <w:p w:rsidR="007210AD" w:rsidRDefault="008F3E59">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rsidR="007210AD" w:rsidRDefault="008F3E59">
            <w:pPr>
              <w:keepNext/>
              <w:keepLines/>
              <w:spacing w:after="0" w:line="240" w:lineRule="auto"/>
            </w:pPr>
            <w:r>
              <w:rPr>
                <w:sz w:val="18"/>
              </w:rPr>
              <w:t>63613</w:t>
            </w:r>
          </w:p>
        </w:tc>
        <w:tc>
          <w:tcPr>
            <w:tcW w:w="1860" w:type="dxa"/>
            <w:tcMar>
              <w:top w:w="0" w:type="dxa"/>
              <w:bottom w:w="0" w:type="dxa"/>
            </w:tcMar>
            <w:vAlign w:val="center"/>
          </w:tcPr>
          <w:p w:rsidR="007210AD" w:rsidRDefault="008F3E59">
            <w:pPr>
              <w:keepNext/>
              <w:keepLines/>
              <w:spacing w:after="0" w:line="240" w:lineRule="auto"/>
              <w:jc w:val="right"/>
            </w:pPr>
            <w:r>
              <w:rPr>
                <w:sz w:val="18"/>
              </w:rPr>
              <w:t>10.307,71</w:t>
            </w:r>
          </w:p>
        </w:tc>
        <w:tc>
          <w:tcPr>
            <w:tcW w:w="1860" w:type="dxa"/>
            <w:tcMar>
              <w:top w:w="0" w:type="dxa"/>
              <w:bottom w:w="0" w:type="dxa"/>
            </w:tcMar>
            <w:vAlign w:val="center"/>
          </w:tcPr>
          <w:p w:rsidR="007210AD" w:rsidRDefault="008F3E59">
            <w:pPr>
              <w:keepNext/>
              <w:keepLines/>
              <w:spacing w:after="0" w:line="240" w:lineRule="auto"/>
              <w:jc w:val="right"/>
            </w:pPr>
            <w:r>
              <w:rPr>
                <w:sz w:val="18"/>
              </w:rPr>
              <w:t>12.899,11</w:t>
            </w:r>
          </w:p>
        </w:tc>
        <w:tc>
          <w:tcPr>
            <w:tcW w:w="700" w:type="dxa"/>
            <w:tcMar>
              <w:top w:w="0" w:type="dxa"/>
              <w:bottom w:w="0" w:type="dxa"/>
            </w:tcMar>
            <w:vAlign w:val="center"/>
          </w:tcPr>
          <w:p w:rsidR="007210AD" w:rsidRDefault="008F3E59">
            <w:pPr>
              <w:keepNext/>
              <w:keepLines/>
              <w:spacing w:after="0" w:line="240" w:lineRule="auto"/>
              <w:jc w:val="right"/>
            </w:pPr>
            <w:r>
              <w:rPr>
                <w:sz w:val="18"/>
              </w:rPr>
              <w:t>125,1</w:t>
            </w:r>
          </w:p>
        </w:tc>
      </w:tr>
    </w:tbl>
    <w:p w:rsidR="007210AD" w:rsidRDefault="007210AD">
      <w:pPr>
        <w:spacing w:after="0"/>
      </w:pPr>
    </w:p>
    <w:p w:rsidR="007210AD" w:rsidRDefault="008F3E59">
      <w:r>
        <w:t>Tekuće pomoći proračunskim korisnicima iz proračuna JLP(R)S koji im nije nadležan ostvarene su u iznosu od 12.899,11 eura,  Sredstva su dobivena od  općine Semeljci za sufinanciranje Škole u prirodi, školski sportski klub, tisak godišnjaka "Semeljački Kozarac" i nabavu radnih bilježnica i likovnih mapa za učenike. </w:t>
      </w:r>
    </w:p>
    <w:p w:rsidR="007210AD" w:rsidRDefault="007210AD"/>
    <w:p w:rsidR="007210AD" w:rsidRDefault="008F3E59">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63622</w:t>
            </w:r>
          </w:p>
        </w:tc>
        <w:tc>
          <w:tcPr>
            <w:tcW w:w="3180" w:type="dxa"/>
            <w:tcMar>
              <w:top w:w="0" w:type="dxa"/>
              <w:bottom w:w="0" w:type="dxa"/>
            </w:tcMar>
            <w:vAlign w:val="center"/>
          </w:tcPr>
          <w:p w:rsidR="007210AD" w:rsidRDefault="008F3E59">
            <w:pPr>
              <w:keepNext/>
              <w:keepLines/>
              <w:spacing w:after="0" w:line="240" w:lineRule="auto"/>
            </w:pPr>
            <w:r>
              <w:rPr>
                <w:sz w:val="18"/>
              </w:rPr>
              <w:t>Kapitalne pomoći iz državnog proračuna proračunskim korisnicima proračuna JLP(R)S</w:t>
            </w:r>
          </w:p>
        </w:tc>
        <w:tc>
          <w:tcPr>
            <w:tcW w:w="700" w:type="dxa"/>
            <w:tcMar>
              <w:top w:w="0" w:type="dxa"/>
              <w:bottom w:w="0" w:type="dxa"/>
            </w:tcMar>
            <w:vAlign w:val="center"/>
          </w:tcPr>
          <w:p w:rsidR="007210AD" w:rsidRDefault="008F3E59">
            <w:pPr>
              <w:keepNext/>
              <w:keepLines/>
              <w:spacing w:after="0" w:line="240" w:lineRule="auto"/>
            </w:pPr>
            <w:r>
              <w:rPr>
                <w:sz w:val="18"/>
              </w:rPr>
              <w:t>63622</w:t>
            </w:r>
          </w:p>
        </w:tc>
        <w:tc>
          <w:tcPr>
            <w:tcW w:w="1860" w:type="dxa"/>
            <w:tcMar>
              <w:top w:w="0" w:type="dxa"/>
              <w:bottom w:w="0" w:type="dxa"/>
            </w:tcMar>
            <w:vAlign w:val="center"/>
          </w:tcPr>
          <w:p w:rsidR="007210AD" w:rsidRDefault="008F3E59">
            <w:pPr>
              <w:keepNext/>
              <w:keepLines/>
              <w:spacing w:after="0" w:line="240" w:lineRule="auto"/>
              <w:jc w:val="right"/>
            </w:pPr>
            <w:r>
              <w:rPr>
                <w:sz w:val="18"/>
              </w:rPr>
              <w:t>889,16</w:t>
            </w:r>
          </w:p>
        </w:tc>
        <w:tc>
          <w:tcPr>
            <w:tcW w:w="1860" w:type="dxa"/>
            <w:tcMar>
              <w:top w:w="0" w:type="dxa"/>
              <w:bottom w:w="0" w:type="dxa"/>
            </w:tcMar>
            <w:vAlign w:val="center"/>
          </w:tcPr>
          <w:p w:rsidR="007210AD" w:rsidRDefault="008F3E59">
            <w:pPr>
              <w:keepNext/>
              <w:keepLines/>
              <w:spacing w:after="0" w:line="240" w:lineRule="auto"/>
              <w:jc w:val="right"/>
            </w:pPr>
            <w:r>
              <w:rPr>
                <w:sz w:val="18"/>
              </w:rPr>
              <w:t>9.773,10</w:t>
            </w:r>
          </w:p>
        </w:tc>
        <w:tc>
          <w:tcPr>
            <w:tcW w:w="700" w:type="dxa"/>
            <w:tcMar>
              <w:top w:w="0" w:type="dxa"/>
              <w:bottom w:w="0" w:type="dxa"/>
            </w:tcMar>
            <w:vAlign w:val="center"/>
          </w:tcPr>
          <w:p w:rsidR="007210AD" w:rsidRDefault="008F3E59">
            <w:pPr>
              <w:keepNext/>
              <w:keepLines/>
              <w:spacing w:after="0" w:line="240" w:lineRule="auto"/>
              <w:jc w:val="right"/>
            </w:pPr>
            <w:r>
              <w:rPr>
                <w:sz w:val="18"/>
              </w:rPr>
              <w:t>1099,1</w:t>
            </w:r>
          </w:p>
        </w:tc>
      </w:tr>
    </w:tbl>
    <w:p w:rsidR="007210AD" w:rsidRDefault="007210AD">
      <w:pPr>
        <w:spacing w:after="0"/>
      </w:pPr>
    </w:p>
    <w:p w:rsidR="007210AD" w:rsidRDefault="008F3E59">
      <w:r>
        <w:t xml:space="preserve">Kapitalne pomoći iz državnog proračuna proračunskim korisnicima proračuna JLP(R)S ostvarene su u iznosu od 9.773,10 eura.  Razlog povećanih prihoda je taj što smo za </w:t>
      </w:r>
      <w:r>
        <w:lastRenderedPageBreak/>
        <w:t>nabavljene udžbenike u 2024. godini sredstva dobili u 2025. godini i povećana potreba za nabavom udžbenika za učenike u ovoj godini.</w:t>
      </w:r>
    </w:p>
    <w:p w:rsidR="007210AD" w:rsidRDefault="007210AD"/>
    <w:p w:rsidR="007210AD" w:rsidRDefault="008F3E59">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63623</w:t>
            </w:r>
          </w:p>
        </w:tc>
        <w:tc>
          <w:tcPr>
            <w:tcW w:w="3180" w:type="dxa"/>
            <w:tcMar>
              <w:top w:w="0" w:type="dxa"/>
              <w:bottom w:w="0" w:type="dxa"/>
            </w:tcMar>
            <w:vAlign w:val="center"/>
          </w:tcPr>
          <w:p w:rsidR="007210AD" w:rsidRDefault="008F3E59">
            <w:pPr>
              <w:keepNext/>
              <w:keepLines/>
              <w:spacing w:after="0" w:line="240" w:lineRule="auto"/>
            </w:pPr>
            <w:r>
              <w:rPr>
                <w:sz w:val="18"/>
              </w:rPr>
              <w:t>Kapitalne pomoći proračunskim korisnicima iz proračuna JLP(R)S koji im nije nadležan</w:t>
            </w:r>
          </w:p>
        </w:tc>
        <w:tc>
          <w:tcPr>
            <w:tcW w:w="700" w:type="dxa"/>
            <w:tcMar>
              <w:top w:w="0" w:type="dxa"/>
              <w:bottom w:w="0" w:type="dxa"/>
            </w:tcMar>
            <w:vAlign w:val="center"/>
          </w:tcPr>
          <w:p w:rsidR="007210AD" w:rsidRDefault="008F3E59">
            <w:pPr>
              <w:keepNext/>
              <w:keepLines/>
              <w:spacing w:after="0" w:line="240" w:lineRule="auto"/>
            </w:pPr>
            <w:r>
              <w:rPr>
                <w:sz w:val="18"/>
              </w:rPr>
              <w:t>63623</w:t>
            </w:r>
          </w:p>
        </w:tc>
        <w:tc>
          <w:tcPr>
            <w:tcW w:w="1860" w:type="dxa"/>
            <w:tcMar>
              <w:top w:w="0" w:type="dxa"/>
              <w:bottom w:w="0" w:type="dxa"/>
            </w:tcMar>
            <w:vAlign w:val="center"/>
          </w:tcPr>
          <w:p w:rsidR="007210AD" w:rsidRDefault="008F3E59">
            <w:pPr>
              <w:keepNext/>
              <w:keepLines/>
              <w:spacing w:after="0" w:line="240" w:lineRule="auto"/>
              <w:jc w:val="right"/>
            </w:pPr>
            <w:r>
              <w:rPr>
                <w:sz w:val="18"/>
              </w:rPr>
              <w:t>650,00</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t>Kapitalne pomoći proračunskim korisnicima iz proračuna JLP(R)S koji im nije nadležan iznose 0,00 eura. U izvještajnom razdoblju prethodne godine dobili smo sredstva od Općine Semeljci za nabavu stalka i mreže za odbojku.</w:t>
      </w:r>
    </w:p>
    <w:p w:rsidR="007210AD" w:rsidRDefault="007210AD"/>
    <w:p w:rsidR="007210AD" w:rsidRDefault="008F3E59">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63811</w:t>
            </w:r>
          </w:p>
        </w:tc>
        <w:tc>
          <w:tcPr>
            <w:tcW w:w="3180" w:type="dxa"/>
            <w:tcMar>
              <w:top w:w="0" w:type="dxa"/>
              <w:bottom w:w="0" w:type="dxa"/>
            </w:tcMar>
            <w:vAlign w:val="center"/>
          </w:tcPr>
          <w:p w:rsidR="007210AD" w:rsidRDefault="008F3E59">
            <w:pPr>
              <w:keepNext/>
              <w:keepLines/>
              <w:spacing w:after="0" w:line="240" w:lineRule="auto"/>
            </w:pPr>
            <w:r>
              <w:rPr>
                <w:sz w:val="18"/>
              </w:rPr>
              <w:t>Tekuće pomoći iz državnog proračuna temeljem prijenosa EU sredstava</w:t>
            </w:r>
          </w:p>
        </w:tc>
        <w:tc>
          <w:tcPr>
            <w:tcW w:w="700" w:type="dxa"/>
            <w:tcMar>
              <w:top w:w="0" w:type="dxa"/>
              <w:bottom w:w="0" w:type="dxa"/>
            </w:tcMar>
            <w:vAlign w:val="center"/>
          </w:tcPr>
          <w:p w:rsidR="007210AD" w:rsidRDefault="008F3E59">
            <w:pPr>
              <w:keepNext/>
              <w:keepLines/>
              <w:spacing w:after="0" w:line="240" w:lineRule="auto"/>
            </w:pPr>
            <w:r>
              <w:rPr>
                <w:sz w:val="18"/>
              </w:rPr>
              <w:t>63811</w:t>
            </w:r>
          </w:p>
        </w:tc>
        <w:tc>
          <w:tcPr>
            <w:tcW w:w="1860" w:type="dxa"/>
            <w:tcMar>
              <w:top w:w="0" w:type="dxa"/>
              <w:bottom w:w="0" w:type="dxa"/>
            </w:tcMar>
            <w:vAlign w:val="center"/>
          </w:tcPr>
          <w:p w:rsidR="007210AD" w:rsidRDefault="008F3E59">
            <w:pPr>
              <w:keepNext/>
              <w:keepLines/>
              <w:spacing w:after="0" w:line="240" w:lineRule="auto"/>
              <w:jc w:val="right"/>
            </w:pPr>
            <w:r>
              <w:rPr>
                <w:sz w:val="18"/>
              </w:rPr>
              <w:t>69.874,21</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t>Tekuće pomoći iz državnog proračuna temeljem prijenosa EU sredstava iznose 0,00 eura.  U istom izvještajnom razdoblju prethodne godine dobili smo sredstva od Ministarstva regionalnog razvoja i fondova Europske unije koja su završna isplata nakon usvajanja završnog izvješća projekta STEM-moje obrazovanje te sredstva od Agencije za mobilnost i programe EU koja su završna isplata nakon usvajanja završnog izvješća projekta Erasmus+. U ovom izvještajnom razdoblju nemamo EU projekata.</w:t>
      </w:r>
    </w:p>
    <w:p w:rsidR="007210AD" w:rsidRDefault="007210AD"/>
    <w:p w:rsidR="007210AD" w:rsidRDefault="008F3E59">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63821</w:t>
            </w:r>
          </w:p>
        </w:tc>
        <w:tc>
          <w:tcPr>
            <w:tcW w:w="3180" w:type="dxa"/>
            <w:tcMar>
              <w:top w:w="0" w:type="dxa"/>
              <w:bottom w:w="0" w:type="dxa"/>
            </w:tcMar>
            <w:vAlign w:val="center"/>
          </w:tcPr>
          <w:p w:rsidR="007210AD" w:rsidRDefault="008F3E59">
            <w:pPr>
              <w:keepNext/>
              <w:keepLines/>
              <w:spacing w:after="0" w:line="240" w:lineRule="auto"/>
            </w:pPr>
            <w:r>
              <w:rPr>
                <w:sz w:val="18"/>
              </w:rPr>
              <w:t>Kapitalne pomoći iz državnog proračuna temeljem prijenosa EU sredstava</w:t>
            </w:r>
          </w:p>
        </w:tc>
        <w:tc>
          <w:tcPr>
            <w:tcW w:w="700" w:type="dxa"/>
            <w:tcMar>
              <w:top w:w="0" w:type="dxa"/>
              <w:bottom w:w="0" w:type="dxa"/>
            </w:tcMar>
            <w:vAlign w:val="center"/>
          </w:tcPr>
          <w:p w:rsidR="007210AD" w:rsidRDefault="008F3E59">
            <w:pPr>
              <w:keepNext/>
              <w:keepLines/>
              <w:spacing w:after="0" w:line="240" w:lineRule="auto"/>
            </w:pPr>
            <w:r>
              <w:rPr>
                <w:sz w:val="18"/>
              </w:rPr>
              <w:t>63821</w:t>
            </w:r>
          </w:p>
        </w:tc>
        <w:tc>
          <w:tcPr>
            <w:tcW w:w="1860" w:type="dxa"/>
            <w:tcMar>
              <w:top w:w="0" w:type="dxa"/>
              <w:bottom w:w="0" w:type="dxa"/>
            </w:tcMar>
            <w:vAlign w:val="center"/>
          </w:tcPr>
          <w:p w:rsidR="007210AD" w:rsidRDefault="008F3E59">
            <w:pPr>
              <w:keepNext/>
              <w:keepLines/>
              <w:spacing w:after="0" w:line="240" w:lineRule="auto"/>
              <w:jc w:val="right"/>
            </w:pPr>
            <w:r>
              <w:rPr>
                <w:sz w:val="18"/>
              </w:rPr>
              <w:t>5.879,25</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t>Kapitalne pomoći iz državnog proračuna temeljem prijenosa EU sredstava iznose 0,00 eura.  U istom izvještajnom razdoblju prethodne godine dobili smo sredstva od Ministarstva regionalnog razvoja i fondova Europske unije koja su završna isplata nakon usvajanja završnog izvješća projekta STEM-moje obrazovanje te sredstva od Agencije za mobilnost i programe EU koja su završna isplata nakon usvajanja završnog izvješća projekta Erasmus+. U ovom izvještajnom razdoblju nemamo EU projekata.</w:t>
      </w:r>
    </w:p>
    <w:p w:rsidR="007210AD" w:rsidRDefault="007210AD"/>
    <w:p w:rsidR="007210AD" w:rsidRDefault="008F3E59">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65264</w:t>
            </w:r>
          </w:p>
        </w:tc>
        <w:tc>
          <w:tcPr>
            <w:tcW w:w="3180" w:type="dxa"/>
            <w:tcMar>
              <w:top w:w="0" w:type="dxa"/>
              <w:bottom w:w="0" w:type="dxa"/>
            </w:tcMar>
            <w:vAlign w:val="center"/>
          </w:tcPr>
          <w:p w:rsidR="007210AD" w:rsidRDefault="008F3E59">
            <w:pPr>
              <w:keepNext/>
              <w:keepLines/>
              <w:spacing w:after="0" w:line="240" w:lineRule="auto"/>
            </w:pPr>
            <w:r>
              <w:rPr>
                <w:sz w:val="18"/>
              </w:rPr>
              <w:t>Sufinanciranje cijene usluge, participacije i slično</w:t>
            </w:r>
          </w:p>
        </w:tc>
        <w:tc>
          <w:tcPr>
            <w:tcW w:w="700" w:type="dxa"/>
            <w:tcMar>
              <w:top w:w="0" w:type="dxa"/>
              <w:bottom w:w="0" w:type="dxa"/>
            </w:tcMar>
            <w:vAlign w:val="center"/>
          </w:tcPr>
          <w:p w:rsidR="007210AD" w:rsidRDefault="008F3E59">
            <w:pPr>
              <w:keepNext/>
              <w:keepLines/>
              <w:spacing w:after="0" w:line="240" w:lineRule="auto"/>
            </w:pPr>
            <w:r>
              <w:rPr>
                <w:sz w:val="18"/>
              </w:rPr>
              <w:t>65264</w:t>
            </w:r>
          </w:p>
        </w:tc>
        <w:tc>
          <w:tcPr>
            <w:tcW w:w="1860" w:type="dxa"/>
            <w:tcMar>
              <w:top w:w="0" w:type="dxa"/>
              <w:bottom w:w="0" w:type="dxa"/>
            </w:tcMar>
            <w:vAlign w:val="center"/>
          </w:tcPr>
          <w:p w:rsidR="007210AD" w:rsidRDefault="008F3E59">
            <w:pPr>
              <w:keepNext/>
              <w:keepLines/>
              <w:spacing w:after="0" w:line="240" w:lineRule="auto"/>
              <w:jc w:val="right"/>
            </w:pPr>
            <w:r>
              <w:rPr>
                <w:sz w:val="18"/>
              </w:rPr>
              <w:t>750,00</w:t>
            </w:r>
          </w:p>
        </w:tc>
        <w:tc>
          <w:tcPr>
            <w:tcW w:w="1860" w:type="dxa"/>
            <w:tcMar>
              <w:top w:w="0" w:type="dxa"/>
              <w:bottom w:w="0" w:type="dxa"/>
            </w:tcMar>
            <w:vAlign w:val="center"/>
          </w:tcPr>
          <w:p w:rsidR="007210AD" w:rsidRDefault="008F3E59">
            <w:pPr>
              <w:keepNext/>
              <w:keepLines/>
              <w:spacing w:after="0" w:line="240" w:lineRule="auto"/>
              <w:jc w:val="right"/>
            </w:pPr>
            <w:r>
              <w:rPr>
                <w:sz w:val="18"/>
              </w:rPr>
              <w:t>2.958,99</w:t>
            </w:r>
          </w:p>
        </w:tc>
        <w:tc>
          <w:tcPr>
            <w:tcW w:w="700" w:type="dxa"/>
            <w:tcMar>
              <w:top w:w="0" w:type="dxa"/>
              <w:bottom w:w="0" w:type="dxa"/>
            </w:tcMar>
            <w:vAlign w:val="center"/>
          </w:tcPr>
          <w:p w:rsidR="007210AD" w:rsidRDefault="008F3E59">
            <w:pPr>
              <w:keepNext/>
              <w:keepLines/>
              <w:spacing w:after="0" w:line="240" w:lineRule="auto"/>
              <w:jc w:val="right"/>
            </w:pPr>
            <w:r>
              <w:rPr>
                <w:sz w:val="18"/>
              </w:rPr>
              <w:t>394,5</w:t>
            </w:r>
          </w:p>
        </w:tc>
      </w:tr>
    </w:tbl>
    <w:p w:rsidR="007210AD" w:rsidRDefault="007210AD">
      <w:pPr>
        <w:spacing w:after="0"/>
      </w:pPr>
    </w:p>
    <w:p w:rsidR="007210AD" w:rsidRDefault="008F3E59">
      <w:r>
        <w:t>Sufinanciranje cijene usluge, participacije i slično ostvareno ju u iznosu od 2.958,99 eura.  Prihodi su povećani prvenstveno zbog posjeta učenika dječjem kazalištu u Osijeku.</w:t>
      </w:r>
    </w:p>
    <w:p w:rsidR="007210AD" w:rsidRDefault="007210AD"/>
    <w:p w:rsidR="007210AD" w:rsidRDefault="008F3E59">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31214</w:t>
            </w:r>
          </w:p>
        </w:tc>
        <w:tc>
          <w:tcPr>
            <w:tcW w:w="3180" w:type="dxa"/>
            <w:tcMar>
              <w:top w:w="0" w:type="dxa"/>
              <w:bottom w:w="0" w:type="dxa"/>
            </w:tcMar>
            <w:vAlign w:val="center"/>
          </w:tcPr>
          <w:p w:rsidR="007210AD" w:rsidRDefault="008F3E59">
            <w:pPr>
              <w:keepNext/>
              <w:keepLines/>
              <w:spacing w:after="0" w:line="240" w:lineRule="auto"/>
            </w:pPr>
            <w:r>
              <w:rPr>
                <w:sz w:val="18"/>
              </w:rPr>
              <w:t>Otpremnine</w:t>
            </w:r>
          </w:p>
        </w:tc>
        <w:tc>
          <w:tcPr>
            <w:tcW w:w="700" w:type="dxa"/>
            <w:tcMar>
              <w:top w:w="0" w:type="dxa"/>
              <w:bottom w:w="0" w:type="dxa"/>
            </w:tcMar>
            <w:vAlign w:val="center"/>
          </w:tcPr>
          <w:p w:rsidR="007210AD" w:rsidRDefault="008F3E59">
            <w:pPr>
              <w:keepNext/>
              <w:keepLines/>
              <w:spacing w:after="0" w:line="240" w:lineRule="auto"/>
            </w:pPr>
            <w:r>
              <w:rPr>
                <w:sz w:val="18"/>
              </w:rPr>
              <w:t>31214</w:t>
            </w:r>
          </w:p>
        </w:tc>
        <w:tc>
          <w:tcPr>
            <w:tcW w:w="1860" w:type="dxa"/>
            <w:tcMar>
              <w:top w:w="0" w:type="dxa"/>
              <w:bottom w:w="0" w:type="dxa"/>
            </w:tcMar>
            <w:vAlign w:val="center"/>
          </w:tcPr>
          <w:p w:rsidR="007210AD" w:rsidRDefault="008F3E59">
            <w:pPr>
              <w:keepNext/>
              <w:keepLines/>
              <w:spacing w:after="0" w:line="240" w:lineRule="auto"/>
              <w:jc w:val="right"/>
            </w:pPr>
            <w:r>
              <w:rPr>
                <w:sz w:val="18"/>
              </w:rPr>
              <w:t>6.899,67</w:t>
            </w:r>
          </w:p>
        </w:tc>
        <w:tc>
          <w:tcPr>
            <w:tcW w:w="1860" w:type="dxa"/>
            <w:tcMar>
              <w:top w:w="0" w:type="dxa"/>
              <w:bottom w:w="0" w:type="dxa"/>
            </w:tcMar>
            <w:vAlign w:val="center"/>
          </w:tcPr>
          <w:p w:rsidR="007210AD" w:rsidRDefault="008F3E59">
            <w:pPr>
              <w:keepNext/>
              <w:keepLines/>
              <w:spacing w:after="0" w:line="240" w:lineRule="auto"/>
              <w:jc w:val="right"/>
            </w:pPr>
            <w:r>
              <w:rPr>
                <w:sz w:val="18"/>
              </w:rPr>
              <w:t>3.209,28</w:t>
            </w:r>
          </w:p>
        </w:tc>
        <w:tc>
          <w:tcPr>
            <w:tcW w:w="700" w:type="dxa"/>
            <w:tcMar>
              <w:top w:w="0" w:type="dxa"/>
              <w:bottom w:w="0" w:type="dxa"/>
            </w:tcMar>
            <w:vAlign w:val="center"/>
          </w:tcPr>
          <w:p w:rsidR="007210AD" w:rsidRDefault="008F3E59">
            <w:pPr>
              <w:keepNext/>
              <w:keepLines/>
              <w:spacing w:after="0" w:line="240" w:lineRule="auto"/>
              <w:jc w:val="right"/>
            </w:pPr>
            <w:r>
              <w:rPr>
                <w:sz w:val="18"/>
              </w:rPr>
              <w:t>46,5</w:t>
            </w:r>
          </w:p>
        </w:tc>
      </w:tr>
    </w:tbl>
    <w:p w:rsidR="007210AD" w:rsidRDefault="007210AD">
      <w:pPr>
        <w:spacing w:after="0"/>
      </w:pPr>
    </w:p>
    <w:p w:rsidR="007210AD" w:rsidRDefault="008F3E59">
      <w:r>
        <w:t>Rashodi za otpremnine ostvareni su u iznosu od 3.209,28 eura. Manji su u odnosu na izvještajno razdoblje prethodne godine jer smo imali dvije otpremnine manje nego u prethodnoj godini.</w:t>
      </w:r>
    </w:p>
    <w:p w:rsidR="007210AD" w:rsidRDefault="007210AD"/>
    <w:p w:rsidR="007210AD" w:rsidRDefault="008F3E59">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31215</w:t>
            </w:r>
          </w:p>
        </w:tc>
        <w:tc>
          <w:tcPr>
            <w:tcW w:w="3180" w:type="dxa"/>
            <w:tcMar>
              <w:top w:w="0" w:type="dxa"/>
              <w:bottom w:w="0" w:type="dxa"/>
            </w:tcMar>
            <w:vAlign w:val="center"/>
          </w:tcPr>
          <w:p w:rsidR="007210AD" w:rsidRDefault="008F3E59">
            <w:pPr>
              <w:keepNext/>
              <w:keepLines/>
              <w:spacing w:after="0" w:line="240" w:lineRule="auto"/>
            </w:pPr>
            <w:r>
              <w:rPr>
                <w:sz w:val="18"/>
              </w:rPr>
              <w:t>Naknade za bolest, invalidnost i smrtni slučaj</w:t>
            </w:r>
          </w:p>
        </w:tc>
        <w:tc>
          <w:tcPr>
            <w:tcW w:w="700" w:type="dxa"/>
            <w:tcMar>
              <w:top w:w="0" w:type="dxa"/>
              <w:bottom w:w="0" w:type="dxa"/>
            </w:tcMar>
            <w:vAlign w:val="center"/>
          </w:tcPr>
          <w:p w:rsidR="007210AD" w:rsidRDefault="008F3E59">
            <w:pPr>
              <w:keepNext/>
              <w:keepLines/>
              <w:spacing w:after="0" w:line="240" w:lineRule="auto"/>
            </w:pPr>
            <w:r>
              <w:rPr>
                <w:sz w:val="18"/>
              </w:rPr>
              <w:t>31215</w:t>
            </w:r>
          </w:p>
        </w:tc>
        <w:tc>
          <w:tcPr>
            <w:tcW w:w="1860" w:type="dxa"/>
            <w:tcMar>
              <w:top w:w="0" w:type="dxa"/>
              <w:bottom w:w="0" w:type="dxa"/>
            </w:tcMar>
            <w:vAlign w:val="center"/>
          </w:tcPr>
          <w:p w:rsidR="007210AD" w:rsidRDefault="008F3E59">
            <w:pPr>
              <w:keepNext/>
              <w:keepLines/>
              <w:spacing w:after="0" w:line="240" w:lineRule="auto"/>
              <w:jc w:val="right"/>
            </w:pPr>
            <w:r>
              <w:rPr>
                <w:sz w:val="18"/>
              </w:rPr>
              <w:t>6.621,60</w:t>
            </w:r>
          </w:p>
        </w:tc>
        <w:tc>
          <w:tcPr>
            <w:tcW w:w="1860" w:type="dxa"/>
            <w:tcMar>
              <w:top w:w="0" w:type="dxa"/>
              <w:bottom w:w="0" w:type="dxa"/>
            </w:tcMar>
            <w:vAlign w:val="center"/>
          </w:tcPr>
          <w:p w:rsidR="007210AD" w:rsidRDefault="008F3E59">
            <w:pPr>
              <w:keepNext/>
              <w:keepLines/>
              <w:spacing w:after="0" w:line="240" w:lineRule="auto"/>
              <w:jc w:val="right"/>
            </w:pPr>
            <w:r>
              <w:rPr>
                <w:sz w:val="18"/>
              </w:rPr>
              <w:t>2.648,64</w:t>
            </w:r>
          </w:p>
        </w:tc>
        <w:tc>
          <w:tcPr>
            <w:tcW w:w="700" w:type="dxa"/>
            <w:tcMar>
              <w:top w:w="0" w:type="dxa"/>
              <w:bottom w:w="0" w:type="dxa"/>
            </w:tcMar>
            <w:vAlign w:val="center"/>
          </w:tcPr>
          <w:p w:rsidR="007210AD" w:rsidRDefault="008F3E59">
            <w:pPr>
              <w:keepNext/>
              <w:keepLines/>
              <w:spacing w:after="0" w:line="240" w:lineRule="auto"/>
              <w:jc w:val="right"/>
            </w:pPr>
            <w:r>
              <w:rPr>
                <w:sz w:val="18"/>
              </w:rPr>
              <w:t>40,0</w:t>
            </w:r>
          </w:p>
        </w:tc>
      </w:tr>
    </w:tbl>
    <w:p w:rsidR="007210AD" w:rsidRDefault="007210AD">
      <w:pPr>
        <w:spacing w:after="0"/>
      </w:pPr>
    </w:p>
    <w:p w:rsidR="007210AD" w:rsidRDefault="008F3E59">
      <w:r>
        <w:t>Naknade za bolest, invalidnost i smrtni slučaj ostvarene su u iznosu od 2.648,64 eura i manje su u donosu na izvještajno razdoblje prethodne godine jer je bilo manje potpora u slučaju smrti člana uže obitelji zaposlenika.</w:t>
      </w:r>
    </w:p>
    <w:p w:rsidR="007210AD" w:rsidRDefault="007210AD"/>
    <w:p w:rsidR="007210AD" w:rsidRDefault="008F3E59">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32121</w:t>
            </w:r>
          </w:p>
        </w:tc>
        <w:tc>
          <w:tcPr>
            <w:tcW w:w="3180" w:type="dxa"/>
            <w:tcMar>
              <w:top w:w="0" w:type="dxa"/>
              <w:bottom w:w="0" w:type="dxa"/>
            </w:tcMar>
            <w:vAlign w:val="center"/>
          </w:tcPr>
          <w:p w:rsidR="007210AD" w:rsidRDefault="008F3E59">
            <w:pPr>
              <w:keepNext/>
              <w:keepLines/>
              <w:spacing w:after="0" w:line="240" w:lineRule="auto"/>
            </w:pPr>
            <w:r>
              <w:rPr>
                <w:sz w:val="18"/>
              </w:rPr>
              <w:t>Naknade za prijevoz na posao i s posla</w:t>
            </w:r>
          </w:p>
        </w:tc>
        <w:tc>
          <w:tcPr>
            <w:tcW w:w="700" w:type="dxa"/>
            <w:tcMar>
              <w:top w:w="0" w:type="dxa"/>
              <w:bottom w:w="0" w:type="dxa"/>
            </w:tcMar>
            <w:vAlign w:val="center"/>
          </w:tcPr>
          <w:p w:rsidR="007210AD" w:rsidRDefault="008F3E59">
            <w:pPr>
              <w:keepNext/>
              <w:keepLines/>
              <w:spacing w:after="0" w:line="240" w:lineRule="auto"/>
            </w:pPr>
            <w:r>
              <w:rPr>
                <w:sz w:val="18"/>
              </w:rPr>
              <w:t>32121</w:t>
            </w:r>
          </w:p>
        </w:tc>
        <w:tc>
          <w:tcPr>
            <w:tcW w:w="1860" w:type="dxa"/>
            <w:tcMar>
              <w:top w:w="0" w:type="dxa"/>
              <w:bottom w:w="0" w:type="dxa"/>
            </w:tcMar>
            <w:vAlign w:val="center"/>
          </w:tcPr>
          <w:p w:rsidR="007210AD" w:rsidRDefault="008F3E59">
            <w:pPr>
              <w:keepNext/>
              <w:keepLines/>
              <w:spacing w:after="0" w:line="240" w:lineRule="auto"/>
              <w:jc w:val="right"/>
            </w:pPr>
            <w:r>
              <w:rPr>
                <w:sz w:val="18"/>
              </w:rPr>
              <w:t>64.876,41</w:t>
            </w:r>
          </w:p>
        </w:tc>
        <w:tc>
          <w:tcPr>
            <w:tcW w:w="1860" w:type="dxa"/>
            <w:tcMar>
              <w:top w:w="0" w:type="dxa"/>
              <w:bottom w:w="0" w:type="dxa"/>
            </w:tcMar>
            <w:vAlign w:val="center"/>
          </w:tcPr>
          <w:p w:rsidR="007210AD" w:rsidRDefault="008F3E59">
            <w:pPr>
              <w:keepNext/>
              <w:keepLines/>
              <w:spacing w:after="0" w:line="240" w:lineRule="auto"/>
              <w:jc w:val="right"/>
            </w:pPr>
            <w:r>
              <w:rPr>
                <w:sz w:val="18"/>
              </w:rPr>
              <w:t>73.629,31</w:t>
            </w:r>
          </w:p>
        </w:tc>
        <w:tc>
          <w:tcPr>
            <w:tcW w:w="700" w:type="dxa"/>
            <w:tcMar>
              <w:top w:w="0" w:type="dxa"/>
              <w:bottom w:w="0" w:type="dxa"/>
            </w:tcMar>
            <w:vAlign w:val="center"/>
          </w:tcPr>
          <w:p w:rsidR="007210AD" w:rsidRDefault="008F3E59">
            <w:pPr>
              <w:keepNext/>
              <w:keepLines/>
              <w:spacing w:after="0" w:line="240" w:lineRule="auto"/>
              <w:jc w:val="right"/>
            </w:pPr>
            <w:r>
              <w:rPr>
                <w:sz w:val="18"/>
              </w:rPr>
              <w:t>113,5</w:t>
            </w:r>
          </w:p>
        </w:tc>
      </w:tr>
    </w:tbl>
    <w:p w:rsidR="007210AD" w:rsidRDefault="007210AD">
      <w:pPr>
        <w:spacing w:after="0"/>
      </w:pPr>
    </w:p>
    <w:p w:rsidR="007210AD" w:rsidRDefault="008F3E59">
      <w:r>
        <w:t>Naknade za prijevoz ostvarene su u iznosu od 73.629,31 eura. Povećane su zbog velikog broja zamjena učitelja koji putuju iz udaljenijih mjesta.</w:t>
      </w:r>
    </w:p>
    <w:p w:rsidR="007210AD" w:rsidRDefault="007210AD"/>
    <w:p w:rsidR="007210AD" w:rsidRDefault="008F3E59">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32372</w:t>
            </w:r>
          </w:p>
        </w:tc>
        <w:tc>
          <w:tcPr>
            <w:tcW w:w="3180" w:type="dxa"/>
            <w:tcMar>
              <w:top w:w="0" w:type="dxa"/>
              <w:bottom w:w="0" w:type="dxa"/>
            </w:tcMar>
            <w:vAlign w:val="center"/>
          </w:tcPr>
          <w:p w:rsidR="007210AD" w:rsidRDefault="008F3E59">
            <w:pPr>
              <w:keepNext/>
              <w:keepLines/>
              <w:spacing w:after="0" w:line="240" w:lineRule="auto"/>
            </w:pPr>
            <w:r>
              <w:rPr>
                <w:sz w:val="18"/>
              </w:rPr>
              <w:t>Ugovori o djelu</w:t>
            </w:r>
          </w:p>
        </w:tc>
        <w:tc>
          <w:tcPr>
            <w:tcW w:w="700" w:type="dxa"/>
            <w:tcMar>
              <w:top w:w="0" w:type="dxa"/>
              <w:bottom w:w="0" w:type="dxa"/>
            </w:tcMar>
            <w:vAlign w:val="center"/>
          </w:tcPr>
          <w:p w:rsidR="007210AD" w:rsidRDefault="008F3E59">
            <w:pPr>
              <w:keepNext/>
              <w:keepLines/>
              <w:spacing w:after="0" w:line="240" w:lineRule="auto"/>
            </w:pPr>
            <w:r>
              <w:rPr>
                <w:sz w:val="18"/>
              </w:rPr>
              <w:t>32372</w:t>
            </w:r>
          </w:p>
        </w:tc>
        <w:tc>
          <w:tcPr>
            <w:tcW w:w="1860" w:type="dxa"/>
            <w:tcMar>
              <w:top w:w="0" w:type="dxa"/>
              <w:bottom w:w="0" w:type="dxa"/>
            </w:tcMar>
            <w:vAlign w:val="center"/>
          </w:tcPr>
          <w:p w:rsidR="007210AD" w:rsidRDefault="008F3E59">
            <w:pPr>
              <w:keepNext/>
              <w:keepLines/>
              <w:spacing w:after="0" w:line="240" w:lineRule="auto"/>
              <w:jc w:val="right"/>
            </w:pPr>
            <w:r>
              <w:rPr>
                <w:sz w:val="18"/>
              </w:rPr>
              <w:t>1.903,14</w:t>
            </w:r>
          </w:p>
        </w:tc>
        <w:tc>
          <w:tcPr>
            <w:tcW w:w="1860" w:type="dxa"/>
            <w:tcMar>
              <w:top w:w="0" w:type="dxa"/>
              <w:bottom w:w="0" w:type="dxa"/>
            </w:tcMar>
            <w:vAlign w:val="center"/>
          </w:tcPr>
          <w:p w:rsidR="007210AD" w:rsidRDefault="008F3E59">
            <w:pPr>
              <w:keepNext/>
              <w:keepLines/>
              <w:spacing w:after="0" w:line="240" w:lineRule="auto"/>
              <w:jc w:val="right"/>
            </w:pPr>
            <w:r>
              <w:rPr>
                <w:sz w:val="18"/>
              </w:rPr>
              <w:t>27,75</w:t>
            </w:r>
          </w:p>
        </w:tc>
        <w:tc>
          <w:tcPr>
            <w:tcW w:w="700" w:type="dxa"/>
            <w:tcMar>
              <w:top w:w="0" w:type="dxa"/>
              <w:bottom w:w="0" w:type="dxa"/>
            </w:tcMar>
            <w:vAlign w:val="center"/>
          </w:tcPr>
          <w:p w:rsidR="007210AD" w:rsidRDefault="008F3E59">
            <w:pPr>
              <w:keepNext/>
              <w:keepLines/>
              <w:spacing w:after="0" w:line="240" w:lineRule="auto"/>
              <w:jc w:val="right"/>
            </w:pPr>
            <w:r>
              <w:rPr>
                <w:sz w:val="18"/>
              </w:rPr>
              <w:t>1,5</w:t>
            </w:r>
          </w:p>
        </w:tc>
      </w:tr>
    </w:tbl>
    <w:p w:rsidR="007210AD" w:rsidRDefault="007210AD">
      <w:pPr>
        <w:spacing w:after="0"/>
      </w:pPr>
    </w:p>
    <w:p w:rsidR="007210AD" w:rsidRDefault="008F3E59">
      <w:r>
        <w:t>Ugovori o djelu ostvareni su u iznosu od 27,75 eura. U izvještajnom razdoblju prethodne godine imali smo ugovor o djelu za izlučivanje arhivske građe .</w:t>
      </w:r>
    </w:p>
    <w:p w:rsidR="007210AD" w:rsidRDefault="007210AD"/>
    <w:p w:rsidR="007210AD" w:rsidRDefault="008F3E59">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32955</w:t>
            </w:r>
          </w:p>
        </w:tc>
        <w:tc>
          <w:tcPr>
            <w:tcW w:w="3180" w:type="dxa"/>
            <w:tcMar>
              <w:top w:w="0" w:type="dxa"/>
              <w:bottom w:w="0" w:type="dxa"/>
            </w:tcMar>
            <w:vAlign w:val="center"/>
          </w:tcPr>
          <w:p w:rsidR="007210AD" w:rsidRDefault="008F3E59">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rsidR="007210AD" w:rsidRDefault="008F3E59">
            <w:pPr>
              <w:keepNext/>
              <w:keepLines/>
              <w:spacing w:after="0" w:line="240" w:lineRule="auto"/>
            </w:pPr>
            <w:r>
              <w:rPr>
                <w:sz w:val="18"/>
              </w:rPr>
              <w:t>32955</w:t>
            </w:r>
          </w:p>
        </w:tc>
        <w:tc>
          <w:tcPr>
            <w:tcW w:w="1860" w:type="dxa"/>
            <w:tcMar>
              <w:top w:w="0" w:type="dxa"/>
              <w:bottom w:w="0" w:type="dxa"/>
            </w:tcMar>
            <w:vAlign w:val="center"/>
          </w:tcPr>
          <w:p w:rsidR="007210AD" w:rsidRDefault="008F3E59">
            <w:pPr>
              <w:keepNext/>
              <w:keepLines/>
              <w:spacing w:after="0" w:line="240" w:lineRule="auto"/>
              <w:jc w:val="right"/>
            </w:pPr>
            <w:r>
              <w:rPr>
                <w:sz w:val="18"/>
              </w:rPr>
              <w:t>3.472,00</w:t>
            </w:r>
          </w:p>
        </w:tc>
        <w:tc>
          <w:tcPr>
            <w:tcW w:w="1860" w:type="dxa"/>
            <w:tcMar>
              <w:top w:w="0" w:type="dxa"/>
              <w:bottom w:w="0" w:type="dxa"/>
            </w:tcMar>
            <w:vAlign w:val="center"/>
          </w:tcPr>
          <w:p w:rsidR="007210AD" w:rsidRDefault="008F3E59">
            <w:pPr>
              <w:keepNext/>
              <w:keepLines/>
              <w:spacing w:after="0" w:line="240" w:lineRule="auto"/>
              <w:jc w:val="right"/>
            </w:pPr>
            <w:r>
              <w:rPr>
                <w:sz w:val="18"/>
              </w:rPr>
              <w:t>1.913,66</w:t>
            </w:r>
          </w:p>
        </w:tc>
        <w:tc>
          <w:tcPr>
            <w:tcW w:w="700" w:type="dxa"/>
            <w:tcMar>
              <w:top w:w="0" w:type="dxa"/>
              <w:bottom w:w="0" w:type="dxa"/>
            </w:tcMar>
            <w:vAlign w:val="center"/>
          </w:tcPr>
          <w:p w:rsidR="007210AD" w:rsidRDefault="008F3E59">
            <w:pPr>
              <w:keepNext/>
              <w:keepLines/>
              <w:spacing w:after="0" w:line="240" w:lineRule="auto"/>
              <w:jc w:val="right"/>
            </w:pPr>
            <w:r>
              <w:rPr>
                <w:sz w:val="18"/>
              </w:rPr>
              <w:t>55,1</w:t>
            </w:r>
          </w:p>
        </w:tc>
      </w:tr>
    </w:tbl>
    <w:p w:rsidR="007210AD" w:rsidRDefault="007210AD">
      <w:pPr>
        <w:spacing w:after="0"/>
      </w:pPr>
    </w:p>
    <w:p w:rsidR="007210AD" w:rsidRDefault="008F3E59">
      <w:r>
        <w:t>Pristojbe i naknade ostvarene su u iznosu od 1.913,66 eura. Razlog smanjenju troškova je taj što u odnosu na isto razdoblje 2024. godine plaćamo novčanu naknadu zbog nezapošljavanja određene kvote osoba s invaliditetom za jednu osobu, dok smo u istom razdoblju 2024. godine plaćali naknadu za dvije osobe. Također, od mjeseca studenog ne plaćamo navedenu naknadu jer imamo zaposlen potreban broj invalida.</w:t>
      </w:r>
    </w:p>
    <w:p w:rsidR="007210AD" w:rsidRDefault="007210AD"/>
    <w:p w:rsidR="007210AD" w:rsidRDefault="008F3E59">
      <w:pPr>
        <w:keepNext/>
        <w:spacing w:line="240" w:lineRule="auto"/>
        <w:jc w:val="center"/>
      </w:pPr>
      <w:r>
        <w:rPr>
          <w:b/>
          <w:sz w:val="28"/>
        </w:rPr>
        <w:t>Bilanca</w:t>
      </w:r>
    </w:p>
    <w:p w:rsidR="007210AD" w:rsidRDefault="008F3E59">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sz w:val="18"/>
              </w:rPr>
              <w:t>IMOVINA (šifre B002+1)</w:t>
            </w:r>
          </w:p>
        </w:tc>
        <w:tc>
          <w:tcPr>
            <w:tcW w:w="700" w:type="dxa"/>
            <w:tcMar>
              <w:top w:w="0" w:type="dxa"/>
              <w:bottom w:w="0" w:type="dxa"/>
            </w:tcMar>
            <w:vAlign w:val="center"/>
          </w:tcPr>
          <w:p w:rsidR="007210AD" w:rsidRDefault="008F3E59">
            <w:pPr>
              <w:keepNext/>
              <w:keepLines/>
              <w:spacing w:after="0" w:line="240" w:lineRule="auto"/>
            </w:pPr>
            <w:r>
              <w:rPr>
                <w:sz w:val="18"/>
              </w:rPr>
              <w:t>B001</w:t>
            </w:r>
          </w:p>
        </w:tc>
        <w:tc>
          <w:tcPr>
            <w:tcW w:w="1860" w:type="dxa"/>
            <w:tcMar>
              <w:top w:w="0" w:type="dxa"/>
              <w:bottom w:w="0" w:type="dxa"/>
            </w:tcMar>
            <w:vAlign w:val="center"/>
          </w:tcPr>
          <w:p w:rsidR="007210AD" w:rsidRDefault="008F3E59">
            <w:pPr>
              <w:keepNext/>
              <w:keepLines/>
              <w:spacing w:after="0" w:line="240" w:lineRule="auto"/>
              <w:jc w:val="right"/>
            </w:pPr>
            <w:r>
              <w:rPr>
                <w:sz w:val="18"/>
              </w:rPr>
              <w:t>1.783.877,57</w:t>
            </w:r>
          </w:p>
        </w:tc>
        <w:tc>
          <w:tcPr>
            <w:tcW w:w="1860" w:type="dxa"/>
            <w:tcMar>
              <w:top w:w="0" w:type="dxa"/>
              <w:bottom w:w="0" w:type="dxa"/>
            </w:tcMar>
            <w:vAlign w:val="center"/>
          </w:tcPr>
          <w:p w:rsidR="007210AD" w:rsidRDefault="008F3E59">
            <w:pPr>
              <w:keepNext/>
              <w:keepLines/>
              <w:spacing w:after="0" w:line="240" w:lineRule="auto"/>
              <w:jc w:val="right"/>
            </w:pPr>
            <w:r>
              <w:rPr>
                <w:sz w:val="18"/>
              </w:rPr>
              <w:t>1.758.389,62</w:t>
            </w:r>
          </w:p>
        </w:tc>
        <w:tc>
          <w:tcPr>
            <w:tcW w:w="700" w:type="dxa"/>
            <w:tcMar>
              <w:top w:w="0" w:type="dxa"/>
              <w:bottom w:w="0" w:type="dxa"/>
            </w:tcMar>
            <w:vAlign w:val="center"/>
          </w:tcPr>
          <w:p w:rsidR="007210AD" w:rsidRDefault="008F3E59">
            <w:pPr>
              <w:keepNext/>
              <w:keepLines/>
              <w:spacing w:after="0" w:line="240" w:lineRule="auto"/>
              <w:jc w:val="right"/>
            </w:pPr>
            <w:r>
              <w:rPr>
                <w:sz w:val="18"/>
              </w:rPr>
              <w:t>98,6</w:t>
            </w:r>
          </w:p>
        </w:tc>
      </w:tr>
    </w:tbl>
    <w:p w:rsidR="007210AD" w:rsidRDefault="007210AD">
      <w:pPr>
        <w:spacing w:after="0"/>
      </w:pPr>
    </w:p>
    <w:p w:rsidR="007210AD" w:rsidRDefault="008F3E59">
      <w:r>
        <w:t>Vrijednost dugotrajne imovine na kraju razdoblja smanjena je u odnosu na stanje 1.1. jer je vrijednosti novonabavljene imovine manja u odnosu na ukupan ispravak vrijednosti.</w:t>
      </w:r>
    </w:p>
    <w:p w:rsidR="007210AD" w:rsidRDefault="007210AD"/>
    <w:p w:rsidR="007210AD" w:rsidRDefault="008F3E59">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021 i 02921</w:t>
            </w:r>
          </w:p>
        </w:tc>
        <w:tc>
          <w:tcPr>
            <w:tcW w:w="3180" w:type="dxa"/>
            <w:tcMar>
              <w:top w:w="0" w:type="dxa"/>
              <w:bottom w:w="0" w:type="dxa"/>
            </w:tcMar>
            <w:vAlign w:val="center"/>
          </w:tcPr>
          <w:p w:rsidR="007210AD" w:rsidRDefault="008F3E59">
            <w:pPr>
              <w:keepNext/>
              <w:keepLines/>
              <w:spacing w:after="0" w:line="240" w:lineRule="auto"/>
            </w:pPr>
            <w:r>
              <w:rPr>
                <w:sz w:val="18"/>
              </w:rPr>
              <w:t>Građevinski objekti (šifre 0211 do 0214 - 02921)</w:t>
            </w:r>
          </w:p>
        </w:tc>
        <w:tc>
          <w:tcPr>
            <w:tcW w:w="700" w:type="dxa"/>
            <w:tcMar>
              <w:top w:w="0" w:type="dxa"/>
              <w:bottom w:w="0" w:type="dxa"/>
            </w:tcMar>
            <w:vAlign w:val="center"/>
          </w:tcPr>
          <w:p w:rsidR="007210AD" w:rsidRDefault="008F3E59">
            <w:pPr>
              <w:keepNext/>
              <w:keepLines/>
              <w:spacing w:after="0" w:line="240" w:lineRule="auto"/>
            </w:pPr>
            <w:r>
              <w:rPr>
                <w:sz w:val="18"/>
              </w:rPr>
              <w:t>021 i 02921</w:t>
            </w:r>
          </w:p>
        </w:tc>
        <w:tc>
          <w:tcPr>
            <w:tcW w:w="1860" w:type="dxa"/>
            <w:tcMar>
              <w:top w:w="0" w:type="dxa"/>
              <w:bottom w:w="0" w:type="dxa"/>
            </w:tcMar>
            <w:vAlign w:val="center"/>
          </w:tcPr>
          <w:p w:rsidR="007210AD" w:rsidRDefault="008F3E59">
            <w:pPr>
              <w:keepNext/>
              <w:keepLines/>
              <w:spacing w:after="0" w:line="240" w:lineRule="auto"/>
              <w:jc w:val="right"/>
            </w:pPr>
            <w:r>
              <w:rPr>
                <w:sz w:val="18"/>
              </w:rPr>
              <w:t>1.408.586,19</w:t>
            </w:r>
          </w:p>
        </w:tc>
        <w:tc>
          <w:tcPr>
            <w:tcW w:w="1860" w:type="dxa"/>
            <w:tcMar>
              <w:top w:w="0" w:type="dxa"/>
              <w:bottom w:w="0" w:type="dxa"/>
            </w:tcMar>
            <w:vAlign w:val="center"/>
          </w:tcPr>
          <w:p w:rsidR="007210AD" w:rsidRDefault="008F3E59">
            <w:pPr>
              <w:keepNext/>
              <w:keepLines/>
              <w:spacing w:after="0" w:line="240" w:lineRule="auto"/>
              <w:jc w:val="right"/>
            </w:pPr>
            <w:r>
              <w:rPr>
                <w:sz w:val="18"/>
              </w:rPr>
              <w:t>1.381.336,28</w:t>
            </w:r>
          </w:p>
        </w:tc>
        <w:tc>
          <w:tcPr>
            <w:tcW w:w="700" w:type="dxa"/>
            <w:tcMar>
              <w:top w:w="0" w:type="dxa"/>
              <w:bottom w:w="0" w:type="dxa"/>
            </w:tcMar>
            <w:vAlign w:val="center"/>
          </w:tcPr>
          <w:p w:rsidR="007210AD" w:rsidRDefault="008F3E59">
            <w:pPr>
              <w:keepNext/>
              <w:keepLines/>
              <w:spacing w:after="0" w:line="240" w:lineRule="auto"/>
              <w:jc w:val="right"/>
            </w:pPr>
            <w:r>
              <w:rPr>
                <w:sz w:val="18"/>
              </w:rPr>
              <w:t>98,1</w:t>
            </w:r>
          </w:p>
        </w:tc>
      </w:tr>
    </w:tbl>
    <w:p w:rsidR="007210AD" w:rsidRDefault="007210AD">
      <w:pPr>
        <w:spacing w:after="0"/>
      </w:pPr>
    </w:p>
    <w:p w:rsidR="007210AD" w:rsidRDefault="008F3E59">
      <w:r>
        <w:lastRenderedPageBreak/>
        <w:t>Vrijednost Građevinskih objekta (šifre 0211 do 0214 - 02921) manja je na kraju izvještajnog razdoblja zbog ispravka vrijednosti, a tijekom izvještajnog razdoblja nije bilo ulaganja u građevinske objekte.</w:t>
      </w:r>
    </w:p>
    <w:p w:rsidR="007210AD" w:rsidRDefault="007210AD"/>
    <w:p w:rsidR="007210AD" w:rsidRDefault="008F3E59">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022 i 02922</w:t>
            </w:r>
          </w:p>
        </w:tc>
        <w:tc>
          <w:tcPr>
            <w:tcW w:w="3180" w:type="dxa"/>
            <w:tcMar>
              <w:top w:w="0" w:type="dxa"/>
              <w:bottom w:w="0" w:type="dxa"/>
            </w:tcMar>
            <w:vAlign w:val="center"/>
          </w:tcPr>
          <w:p w:rsidR="007210AD" w:rsidRDefault="008F3E59">
            <w:pPr>
              <w:keepNext/>
              <w:keepLines/>
              <w:spacing w:after="0" w:line="240" w:lineRule="auto"/>
            </w:pPr>
            <w:r>
              <w:rPr>
                <w:sz w:val="18"/>
              </w:rPr>
              <w:t>Postrojenja i oprema (šifre 0221 do 0228 - 02922)</w:t>
            </w:r>
          </w:p>
        </w:tc>
        <w:tc>
          <w:tcPr>
            <w:tcW w:w="700" w:type="dxa"/>
            <w:tcMar>
              <w:top w:w="0" w:type="dxa"/>
              <w:bottom w:w="0" w:type="dxa"/>
            </w:tcMar>
            <w:vAlign w:val="center"/>
          </w:tcPr>
          <w:p w:rsidR="007210AD" w:rsidRDefault="008F3E59">
            <w:pPr>
              <w:keepNext/>
              <w:keepLines/>
              <w:spacing w:after="0" w:line="240" w:lineRule="auto"/>
            </w:pPr>
            <w:r>
              <w:rPr>
                <w:sz w:val="18"/>
              </w:rPr>
              <w:t>022 i 02922</w:t>
            </w:r>
          </w:p>
        </w:tc>
        <w:tc>
          <w:tcPr>
            <w:tcW w:w="1860" w:type="dxa"/>
            <w:tcMar>
              <w:top w:w="0" w:type="dxa"/>
              <w:bottom w:w="0" w:type="dxa"/>
            </w:tcMar>
            <w:vAlign w:val="center"/>
          </w:tcPr>
          <w:p w:rsidR="007210AD" w:rsidRDefault="008F3E59">
            <w:pPr>
              <w:keepNext/>
              <w:keepLines/>
              <w:spacing w:after="0" w:line="240" w:lineRule="auto"/>
              <w:jc w:val="right"/>
            </w:pPr>
            <w:r>
              <w:rPr>
                <w:sz w:val="18"/>
              </w:rPr>
              <w:t>123.906,99</w:t>
            </w:r>
          </w:p>
        </w:tc>
        <w:tc>
          <w:tcPr>
            <w:tcW w:w="1860" w:type="dxa"/>
            <w:tcMar>
              <w:top w:w="0" w:type="dxa"/>
              <w:bottom w:w="0" w:type="dxa"/>
            </w:tcMar>
            <w:vAlign w:val="center"/>
          </w:tcPr>
          <w:p w:rsidR="007210AD" w:rsidRDefault="008F3E59">
            <w:pPr>
              <w:keepNext/>
              <w:keepLines/>
              <w:spacing w:after="0" w:line="240" w:lineRule="auto"/>
              <w:jc w:val="right"/>
            </w:pPr>
            <w:r>
              <w:rPr>
                <w:sz w:val="18"/>
              </w:rPr>
              <w:t>94.373,61</w:t>
            </w:r>
          </w:p>
        </w:tc>
        <w:tc>
          <w:tcPr>
            <w:tcW w:w="700" w:type="dxa"/>
            <w:tcMar>
              <w:top w:w="0" w:type="dxa"/>
              <w:bottom w:w="0" w:type="dxa"/>
            </w:tcMar>
            <w:vAlign w:val="center"/>
          </w:tcPr>
          <w:p w:rsidR="007210AD" w:rsidRDefault="008F3E59">
            <w:pPr>
              <w:keepNext/>
              <w:keepLines/>
              <w:spacing w:after="0" w:line="240" w:lineRule="auto"/>
              <w:jc w:val="right"/>
            </w:pPr>
            <w:r>
              <w:rPr>
                <w:sz w:val="18"/>
              </w:rPr>
              <w:t>76,2</w:t>
            </w:r>
          </w:p>
        </w:tc>
      </w:tr>
    </w:tbl>
    <w:p w:rsidR="007210AD" w:rsidRDefault="007210AD">
      <w:pPr>
        <w:spacing w:after="0"/>
      </w:pPr>
    </w:p>
    <w:p w:rsidR="007210AD" w:rsidRDefault="008F3E59">
      <w:r>
        <w:t>Vrijednost postrojenja i oprema (šifre 0221 do 0228 - 02922) manja je na kraju izvještajnog razdoblja jer je vrijednosti novonabavljene imovine manja u odnosu na ispravak vrijednosti postrojenja i opreme.</w:t>
      </w:r>
    </w:p>
    <w:p w:rsidR="007210AD" w:rsidRDefault="007210AD"/>
    <w:p w:rsidR="007210AD" w:rsidRDefault="008F3E59">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0225</w:t>
            </w:r>
          </w:p>
        </w:tc>
        <w:tc>
          <w:tcPr>
            <w:tcW w:w="3180" w:type="dxa"/>
            <w:tcMar>
              <w:top w:w="0" w:type="dxa"/>
              <w:bottom w:w="0" w:type="dxa"/>
            </w:tcMar>
            <w:vAlign w:val="center"/>
          </w:tcPr>
          <w:p w:rsidR="007210AD" w:rsidRDefault="008F3E59">
            <w:pPr>
              <w:keepNext/>
              <w:keepLines/>
              <w:spacing w:after="0" w:line="240" w:lineRule="auto"/>
            </w:pPr>
            <w:r>
              <w:rPr>
                <w:sz w:val="18"/>
              </w:rPr>
              <w:t>Instrumenti i uređaji</w:t>
            </w:r>
          </w:p>
        </w:tc>
        <w:tc>
          <w:tcPr>
            <w:tcW w:w="700" w:type="dxa"/>
            <w:tcMar>
              <w:top w:w="0" w:type="dxa"/>
              <w:bottom w:w="0" w:type="dxa"/>
            </w:tcMar>
            <w:vAlign w:val="center"/>
          </w:tcPr>
          <w:p w:rsidR="007210AD" w:rsidRDefault="008F3E59">
            <w:pPr>
              <w:keepNext/>
              <w:keepLines/>
              <w:spacing w:after="0" w:line="240" w:lineRule="auto"/>
            </w:pPr>
            <w:r>
              <w:rPr>
                <w:sz w:val="18"/>
              </w:rPr>
              <w:t>0225</w:t>
            </w:r>
          </w:p>
        </w:tc>
        <w:tc>
          <w:tcPr>
            <w:tcW w:w="1860" w:type="dxa"/>
            <w:tcMar>
              <w:top w:w="0" w:type="dxa"/>
              <w:bottom w:w="0" w:type="dxa"/>
            </w:tcMar>
            <w:vAlign w:val="center"/>
          </w:tcPr>
          <w:p w:rsidR="007210AD" w:rsidRDefault="008F3E59">
            <w:pPr>
              <w:keepNext/>
              <w:keepLines/>
              <w:spacing w:after="0" w:line="240" w:lineRule="auto"/>
              <w:jc w:val="right"/>
            </w:pPr>
            <w:r>
              <w:rPr>
                <w:sz w:val="18"/>
              </w:rPr>
              <w:t>6.641,48</w:t>
            </w:r>
          </w:p>
        </w:tc>
        <w:tc>
          <w:tcPr>
            <w:tcW w:w="1860" w:type="dxa"/>
            <w:tcMar>
              <w:top w:w="0" w:type="dxa"/>
              <w:bottom w:w="0" w:type="dxa"/>
            </w:tcMar>
            <w:vAlign w:val="center"/>
          </w:tcPr>
          <w:p w:rsidR="007210AD" w:rsidRDefault="008F3E59">
            <w:pPr>
              <w:keepNext/>
              <w:keepLines/>
              <w:spacing w:after="0" w:line="240" w:lineRule="auto"/>
              <w:jc w:val="right"/>
            </w:pPr>
            <w:r>
              <w:rPr>
                <w:sz w:val="18"/>
              </w:rPr>
              <w:t>658,18</w:t>
            </w:r>
          </w:p>
        </w:tc>
        <w:tc>
          <w:tcPr>
            <w:tcW w:w="700" w:type="dxa"/>
            <w:tcMar>
              <w:top w:w="0" w:type="dxa"/>
              <w:bottom w:w="0" w:type="dxa"/>
            </w:tcMar>
            <w:vAlign w:val="center"/>
          </w:tcPr>
          <w:p w:rsidR="007210AD" w:rsidRDefault="008F3E59">
            <w:pPr>
              <w:keepNext/>
              <w:keepLines/>
              <w:spacing w:after="0" w:line="240" w:lineRule="auto"/>
              <w:jc w:val="right"/>
            </w:pPr>
            <w:r>
              <w:rPr>
                <w:sz w:val="18"/>
              </w:rPr>
              <w:t>9,9</w:t>
            </w:r>
          </w:p>
        </w:tc>
      </w:tr>
    </w:tbl>
    <w:p w:rsidR="007210AD" w:rsidRDefault="007210AD">
      <w:pPr>
        <w:spacing w:after="0"/>
      </w:pPr>
    </w:p>
    <w:p w:rsidR="007210AD" w:rsidRDefault="008F3E59">
      <w:r>
        <w:t>Vrijednost instrumenata i uređaja na kraju izvještajnog razdoblja manja je zbog preknjižavanja strojeva za obradu zemlje na strojeve  prema novom Pravilniku o proračunskom knjigovodstvu i računskom planu.</w:t>
      </w:r>
    </w:p>
    <w:p w:rsidR="007210AD" w:rsidRDefault="007210AD"/>
    <w:p w:rsidR="007210AD" w:rsidRDefault="008F3E59">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0227</w:t>
            </w:r>
          </w:p>
        </w:tc>
        <w:tc>
          <w:tcPr>
            <w:tcW w:w="3180" w:type="dxa"/>
            <w:tcMar>
              <w:top w:w="0" w:type="dxa"/>
              <w:bottom w:w="0" w:type="dxa"/>
            </w:tcMar>
            <w:vAlign w:val="center"/>
          </w:tcPr>
          <w:p w:rsidR="007210AD" w:rsidRDefault="008F3E59">
            <w:pPr>
              <w:keepNext/>
              <w:keepLines/>
              <w:spacing w:after="0" w:line="240" w:lineRule="auto"/>
            </w:pPr>
            <w:r>
              <w:rPr>
                <w:sz w:val="18"/>
              </w:rPr>
              <w:t>Uređaji, strojevi i oprema za ostale namjene</w:t>
            </w:r>
          </w:p>
        </w:tc>
        <w:tc>
          <w:tcPr>
            <w:tcW w:w="700" w:type="dxa"/>
            <w:tcMar>
              <w:top w:w="0" w:type="dxa"/>
              <w:bottom w:w="0" w:type="dxa"/>
            </w:tcMar>
            <w:vAlign w:val="center"/>
          </w:tcPr>
          <w:p w:rsidR="007210AD" w:rsidRDefault="008F3E59">
            <w:pPr>
              <w:keepNext/>
              <w:keepLines/>
              <w:spacing w:after="0" w:line="240" w:lineRule="auto"/>
            </w:pPr>
            <w:r>
              <w:rPr>
                <w:sz w:val="18"/>
              </w:rPr>
              <w:t>0227</w:t>
            </w:r>
          </w:p>
        </w:tc>
        <w:tc>
          <w:tcPr>
            <w:tcW w:w="1860" w:type="dxa"/>
            <w:tcMar>
              <w:top w:w="0" w:type="dxa"/>
              <w:bottom w:w="0" w:type="dxa"/>
            </w:tcMar>
            <w:vAlign w:val="center"/>
          </w:tcPr>
          <w:p w:rsidR="007210AD" w:rsidRDefault="008F3E59">
            <w:pPr>
              <w:keepNext/>
              <w:keepLines/>
              <w:spacing w:after="0" w:line="240" w:lineRule="auto"/>
              <w:jc w:val="right"/>
            </w:pPr>
            <w:r>
              <w:rPr>
                <w:sz w:val="18"/>
              </w:rPr>
              <w:t>83.758,18</w:t>
            </w:r>
          </w:p>
        </w:tc>
        <w:tc>
          <w:tcPr>
            <w:tcW w:w="1860" w:type="dxa"/>
            <w:tcMar>
              <w:top w:w="0" w:type="dxa"/>
              <w:bottom w:w="0" w:type="dxa"/>
            </w:tcMar>
            <w:vAlign w:val="center"/>
          </w:tcPr>
          <w:p w:rsidR="007210AD" w:rsidRDefault="008F3E59">
            <w:pPr>
              <w:keepNext/>
              <w:keepLines/>
              <w:spacing w:after="0" w:line="240" w:lineRule="auto"/>
              <w:jc w:val="right"/>
            </w:pPr>
            <w:r>
              <w:rPr>
                <w:sz w:val="18"/>
              </w:rPr>
              <w:t>96.061,74</w:t>
            </w:r>
          </w:p>
        </w:tc>
        <w:tc>
          <w:tcPr>
            <w:tcW w:w="700" w:type="dxa"/>
            <w:tcMar>
              <w:top w:w="0" w:type="dxa"/>
              <w:bottom w:w="0" w:type="dxa"/>
            </w:tcMar>
            <w:vAlign w:val="center"/>
          </w:tcPr>
          <w:p w:rsidR="007210AD" w:rsidRDefault="008F3E59">
            <w:pPr>
              <w:keepNext/>
              <w:keepLines/>
              <w:spacing w:after="0" w:line="240" w:lineRule="auto"/>
              <w:jc w:val="right"/>
            </w:pPr>
            <w:r>
              <w:rPr>
                <w:sz w:val="18"/>
              </w:rPr>
              <w:t>114,7</w:t>
            </w:r>
          </w:p>
        </w:tc>
      </w:tr>
    </w:tbl>
    <w:p w:rsidR="007210AD" w:rsidRDefault="007210AD">
      <w:pPr>
        <w:spacing w:after="0"/>
      </w:pPr>
    </w:p>
    <w:p w:rsidR="007210AD" w:rsidRDefault="008F3E59">
      <w:r>
        <w:t>Vrijednost uređaja, strojeva i oprema za ostale namjene veća je na kraju izvještajnog razdoblja zbog nabave traktorske kosilice, dvije samohodne kosilice, motorne pile i konvekcijske pećnice te zbog preknjižavanja strojeva za obradu zemlje na strojeve  prema novom pravilniku o proračunskom knjigovodstvu i računskom planu.</w:t>
      </w:r>
    </w:p>
    <w:p w:rsidR="007210AD" w:rsidRDefault="007210AD"/>
    <w:p w:rsidR="007210AD" w:rsidRDefault="008F3E59">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0241</w:t>
            </w:r>
          </w:p>
        </w:tc>
        <w:tc>
          <w:tcPr>
            <w:tcW w:w="3180" w:type="dxa"/>
            <w:tcMar>
              <w:top w:w="0" w:type="dxa"/>
              <w:bottom w:w="0" w:type="dxa"/>
            </w:tcMar>
            <w:vAlign w:val="center"/>
          </w:tcPr>
          <w:p w:rsidR="007210AD" w:rsidRDefault="008F3E59">
            <w:pPr>
              <w:keepNext/>
              <w:keepLines/>
              <w:spacing w:after="0" w:line="240" w:lineRule="auto"/>
            </w:pPr>
            <w:r>
              <w:rPr>
                <w:sz w:val="18"/>
              </w:rPr>
              <w:t>Knjige</w:t>
            </w:r>
          </w:p>
        </w:tc>
        <w:tc>
          <w:tcPr>
            <w:tcW w:w="700" w:type="dxa"/>
            <w:tcMar>
              <w:top w:w="0" w:type="dxa"/>
              <w:bottom w:w="0" w:type="dxa"/>
            </w:tcMar>
            <w:vAlign w:val="center"/>
          </w:tcPr>
          <w:p w:rsidR="007210AD" w:rsidRDefault="008F3E59">
            <w:pPr>
              <w:keepNext/>
              <w:keepLines/>
              <w:spacing w:after="0" w:line="240" w:lineRule="auto"/>
            </w:pPr>
            <w:r>
              <w:rPr>
                <w:sz w:val="18"/>
              </w:rPr>
              <w:t>0241</w:t>
            </w:r>
          </w:p>
        </w:tc>
        <w:tc>
          <w:tcPr>
            <w:tcW w:w="1860" w:type="dxa"/>
            <w:tcMar>
              <w:top w:w="0" w:type="dxa"/>
              <w:bottom w:w="0" w:type="dxa"/>
            </w:tcMar>
            <w:vAlign w:val="center"/>
          </w:tcPr>
          <w:p w:rsidR="007210AD" w:rsidRDefault="008F3E59">
            <w:pPr>
              <w:keepNext/>
              <w:keepLines/>
              <w:spacing w:after="0" w:line="240" w:lineRule="auto"/>
              <w:jc w:val="right"/>
            </w:pPr>
            <w:r>
              <w:rPr>
                <w:sz w:val="18"/>
              </w:rPr>
              <w:t>54.317,91</w:t>
            </w:r>
          </w:p>
        </w:tc>
        <w:tc>
          <w:tcPr>
            <w:tcW w:w="1860" w:type="dxa"/>
            <w:tcMar>
              <w:top w:w="0" w:type="dxa"/>
              <w:bottom w:w="0" w:type="dxa"/>
            </w:tcMar>
            <w:vAlign w:val="center"/>
          </w:tcPr>
          <w:p w:rsidR="007210AD" w:rsidRDefault="008F3E59">
            <w:pPr>
              <w:keepNext/>
              <w:keepLines/>
              <w:spacing w:after="0" w:line="240" w:lineRule="auto"/>
              <w:jc w:val="right"/>
            </w:pPr>
            <w:r>
              <w:rPr>
                <w:sz w:val="18"/>
              </w:rPr>
              <w:t>62.375,23</w:t>
            </w:r>
          </w:p>
        </w:tc>
        <w:tc>
          <w:tcPr>
            <w:tcW w:w="700" w:type="dxa"/>
            <w:tcMar>
              <w:top w:w="0" w:type="dxa"/>
              <w:bottom w:w="0" w:type="dxa"/>
            </w:tcMar>
            <w:vAlign w:val="center"/>
          </w:tcPr>
          <w:p w:rsidR="007210AD" w:rsidRDefault="008F3E59">
            <w:pPr>
              <w:keepNext/>
              <w:keepLines/>
              <w:spacing w:after="0" w:line="240" w:lineRule="auto"/>
              <w:jc w:val="right"/>
            </w:pPr>
            <w:r>
              <w:rPr>
                <w:sz w:val="18"/>
              </w:rPr>
              <w:t>114,8</w:t>
            </w:r>
          </w:p>
        </w:tc>
      </w:tr>
    </w:tbl>
    <w:p w:rsidR="007210AD" w:rsidRDefault="007210AD">
      <w:pPr>
        <w:spacing w:after="0"/>
      </w:pPr>
    </w:p>
    <w:p w:rsidR="007210AD" w:rsidRDefault="008F3E59">
      <w:r>
        <w:t>Vrijednost knjiga na kraju izvještajnog razdoblja povećana je nabavkom udžbenika za učenike, te nabavkom obvezne lektire.</w:t>
      </w:r>
    </w:p>
    <w:p w:rsidR="007210AD" w:rsidRDefault="007210AD"/>
    <w:p w:rsidR="007210AD" w:rsidRDefault="008F3E59">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042</w:t>
            </w:r>
          </w:p>
        </w:tc>
        <w:tc>
          <w:tcPr>
            <w:tcW w:w="3180" w:type="dxa"/>
            <w:tcMar>
              <w:top w:w="0" w:type="dxa"/>
              <w:bottom w:w="0" w:type="dxa"/>
            </w:tcMar>
            <w:vAlign w:val="center"/>
          </w:tcPr>
          <w:p w:rsidR="007210AD" w:rsidRDefault="008F3E59">
            <w:pPr>
              <w:keepNext/>
              <w:keepLines/>
              <w:spacing w:after="0" w:line="240" w:lineRule="auto"/>
            </w:pPr>
            <w:r>
              <w:rPr>
                <w:sz w:val="18"/>
              </w:rPr>
              <w:t>Sitni inventar i autogume u upotrebi</w:t>
            </w:r>
          </w:p>
        </w:tc>
        <w:tc>
          <w:tcPr>
            <w:tcW w:w="700" w:type="dxa"/>
            <w:tcMar>
              <w:top w:w="0" w:type="dxa"/>
              <w:bottom w:w="0" w:type="dxa"/>
            </w:tcMar>
            <w:vAlign w:val="center"/>
          </w:tcPr>
          <w:p w:rsidR="007210AD" w:rsidRDefault="008F3E59">
            <w:pPr>
              <w:keepNext/>
              <w:keepLines/>
              <w:spacing w:after="0" w:line="240" w:lineRule="auto"/>
            </w:pPr>
            <w:r>
              <w:rPr>
                <w:sz w:val="18"/>
              </w:rPr>
              <w:t>042</w:t>
            </w:r>
          </w:p>
        </w:tc>
        <w:tc>
          <w:tcPr>
            <w:tcW w:w="1860" w:type="dxa"/>
            <w:tcMar>
              <w:top w:w="0" w:type="dxa"/>
              <w:bottom w:w="0" w:type="dxa"/>
            </w:tcMar>
            <w:vAlign w:val="center"/>
          </w:tcPr>
          <w:p w:rsidR="007210AD" w:rsidRDefault="008F3E59">
            <w:pPr>
              <w:keepNext/>
              <w:keepLines/>
              <w:spacing w:after="0" w:line="240" w:lineRule="auto"/>
              <w:jc w:val="right"/>
            </w:pPr>
            <w:r>
              <w:rPr>
                <w:sz w:val="18"/>
              </w:rPr>
              <w:t>28.170,80</w:t>
            </w:r>
          </w:p>
        </w:tc>
        <w:tc>
          <w:tcPr>
            <w:tcW w:w="1860" w:type="dxa"/>
            <w:tcMar>
              <w:top w:w="0" w:type="dxa"/>
              <w:bottom w:w="0" w:type="dxa"/>
            </w:tcMar>
            <w:vAlign w:val="center"/>
          </w:tcPr>
          <w:p w:rsidR="007210AD" w:rsidRDefault="008F3E59">
            <w:pPr>
              <w:keepNext/>
              <w:keepLines/>
              <w:spacing w:after="0" w:line="240" w:lineRule="auto"/>
              <w:jc w:val="right"/>
            </w:pPr>
            <w:r>
              <w:rPr>
                <w:sz w:val="18"/>
              </w:rPr>
              <w:t>27.809,68</w:t>
            </w:r>
          </w:p>
        </w:tc>
        <w:tc>
          <w:tcPr>
            <w:tcW w:w="700" w:type="dxa"/>
            <w:tcMar>
              <w:top w:w="0" w:type="dxa"/>
              <w:bottom w:w="0" w:type="dxa"/>
            </w:tcMar>
            <w:vAlign w:val="center"/>
          </w:tcPr>
          <w:p w:rsidR="007210AD" w:rsidRDefault="008F3E59">
            <w:pPr>
              <w:keepNext/>
              <w:keepLines/>
              <w:spacing w:after="0" w:line="240" w:lineRule="auto"/>
              <w:jc w:val="right"/>
            </w:pPr>
            <w:r>
              <w:rPr>
                <w:sz w:val="18"/>
              </w:rPr>
              <w:t>98,7</w:t>
            </w:r>
          </w:p>
        </w:tc>
      </w:tr>
    </w:tbl>
    <w:p w:rsidR="007210AD" w:rsidRDefault="007210AD">
      <w:pPr>
        <w:spacing w:after="0"/>
      </w:pPr>
    </w:p>
    <w:p w:rsidR="007210AD" w:rsidRDefault="008F3E59">
      <w:r>
        <w:t>Vrijednost sitnog  inventara manja je na kraju izvještajnog razdoblja zbog inventurnog manjka ( tanjuri i čaše koje učenici koriste prilikom obroka a tijekom godine su razbijeni).</w:t>
      </w:r>
    </w:p>
    <w:p w:rsidR="007210AD" w:rsidRDefault="007210AD"/>
    <w:p w:rsidR="007210AD" w:rsidRDefault="008F3E59">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051</w:t>
            </w:r>
          </w:p>
        </w:tc>
        <w:tc>
          <w:tcPr>
            <w:tcW w:w="3180" w:type="dxa"/>
            <w:tcMar>
              <w:top w:w="0" w:type="dxa"/>
              <w:bottom w:w="0" w:type="dxa"/>
            </w:tcMar>
            <w:vAlign w:val="center"/>
          </w:tcPr>
          <w:p w:rsidR="007210AD" w:rsidRDefault="008F3E59">
            <w:pPr>
              <w:keepNext/>
              <w:keepLines/>
              <w:spacing w:after="0" w:line="240" w:lineRule="auto"/>
            </w:pPr>
            <w:r>
              <w:rPr>
                <w:sz w:val="18"/>
              </w:rPr>
              <w:t>Građevinski objekti u pripremi</w:t>
            </w:r>
          </w:p>
        </w:tc>
        <w:tc>
          <w:tcPr>
            <w:tcW w:w="700" w:type="dxa"/>
            <w:tcMar>
              <w:top w:w="0" w:type="dxa"/>
              <w:bottom w:w="0" w:type="dxa"/>
            </w:tcMar>
            <w:vAlign w:val="center"/>
          </w:tcPr>
          <w:p w:rsidR="007210AD" w:rsidRDefault="008F3E59">
            <w:pPr>
              <w:keepNext/>
              <w:keepLines/>
              <w:spacing w:after="0" w:line="240" w:lineRule="auto"/>
            </w:pPr>
            <w:r>
              <w:rPr>
                <w:sz w:val="18"/>
              </w:rPr>
              <w:t>051</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1860" w:type="dxa"/>
            <w:tcMar>
              <w:top w:w="0" w:type="dxa"/>
              <w:bottom w:w="0" w:type="dxa"/>
            </w:tcMar>
            <w:vAlign w:val="center"/>
          </w:tcPr>
          <w:p w:rsidR="007210AD" w:rsidRDefault="008F3E59">
            <w:pPr>
              <w:keepNext/>
              <w:keepLines/>
              <w:spacing w:after="0" w:line="240" w:lineRule="auto"/>
              <w:jc w:val="right"/>
            </w:pPr>
            <w:r>
              <w:rPr>
                <w:sz w:val="18"/>
              </w:rPr>
              <w:t>6.875,00</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t>Građevinski objekti u pripremi odnose se na prijenos vlasništva na nefinancijskoj imovini prema rješenju Osječko-baranjske županije - projektno tehnička dokumentacija za izvođenje priključka na sustav javne odvodnje. Nakon što se priključimo na sustav javne odvodnje i županija izvrši prijenos vlasništva za troškove iskopa i priključenja na sustav povećati ćemo vrijednost zgrade.</w:t>
      </w:r>
    </w:p>
    <w:p w:rsidR="007210AD" w:rsidRDefault="007210AD"/>
    <w:p w:rsidR="007210AD" w:rsidRDefault="008F3E59">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052</w:t>
            </w:r>
          </w:p>
        </w:tc>
        <w:tc>
          <w:tcPr>
            <w:tcW w:w="3180" w:type="dxa"/>
            <w:tcMar>
              <w:top w:w="0" w:type="dxa"/>
              <w:bottom w:w="0" w:type="dxa"/>
            </w:tcMar>
            <w:vAlign w:val="center"/>
          </w:tcPr>
          <w:p w:rsidR="007210AD" w:rsidRDefault="008F3E59">
            <w:pPr>
              <w:keepNext/>
              <w:keepLines/>
              <w:spacing w:after="0" w:line="240" w:lineRule="auto"/>
            </w:pPr>
            <w:r>
              <w:rPr>
                <w:sz w:val="18"/>
              </w:rPr>
              <w:t>Postrojenja i oprema u pripremi</w:t>
            </w:r>
          </w:p>
        </w:tc>
        <w:tc>
          <w:tcPr>
            <w:tcW w:w="700" w:type="dxa"/>
            <w:tcMar>
              <w:top w:w="0" w:type="dxa"/>
              <w:bottom w:w="0" w:type="dxa"/>
            </w:tcMar>
            <w:vAlign w:val="center"/>
          </w:tcPr>
          <w:p w:rsidR="007210AD" w:rsidRDefault="008F3E59">
            <w:pPr>
              <w:keepNext/>
              <w:keepLines/>
              <w:spacing w:after="0" w:line="240" w:lineRule="auto"/>
            </w:pPr>
            <w:r>
              <w:rPr>
                <w:sz w:val="18"/>
              </w:rPr>
              <w:t>052</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1860" w:type="dxa"/>
            <w:tcMar>
              <w:top w:w="0" w:type="dxa"/>
              <w:bottom w:w="0" w:type="dxa"/>
            </w:tcMar>
            <w:vAlign w:val="center"/>
          </w:tcPr>
          <w:p w:rsidR="007210AD" w:rsidRDefault="008F3E59">
            <w:pPr>
              <w:keepNext/>
              <w:keepLines/>
              <w:spacing w:after="0" w:line="240" w:lineRule="auto"/>
              <w:jc w:val="right"/>
            </w:pPr>
            <w:r>
              <w:rPr>
                <w:sz w:val="18"/>
              </w:rPr>
              <w:t>2.063,03</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t>Vrijednost postrojenja i opreme u pripremi odnosi se na nabavu klima uređaja koji će biti montirani u 2026. godini.</w:t>
      </w:r>
    </w:p>
    <w:p w:rsidR="007210AD" w:rsidRDefault="007210AD"/>
    <w:p w:rsidR="007210AD" w:rsidRDefault="008F3E59">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129</w:t>
            </w:r>
          </w:p>
        </w:tc>
        <w:tc>
          <w:tcPr>
            <w:tcW w:w="3180" w:type="dxa"/>
            <w:tcMar>
              <w:top w:w="0" w:type="dxa"/>
              <w:bottom w:w="0" w:type="dxa"/>
            </w:tcMar>
            <w:vAlign w:val="center"/>
          </w:tcPr>
          <w:p w:rsidR="007210AD" w:rsidRDefault="008F3E59">
            <w:pPr>
              <w:keepNext/>
              <w:keepLines/>
              <w:spacing w:after="0" w:line="240" w:lineRule="auto"/>
            </w:pPr>
            <w:r>
              <w:rPr>
                <w:sz w:val="18"/>
              </w:rPr>
              <w:t>Ostala potraživanja</w:t>
            </w:r>
          </w:p>
        </w:tc>
        <w:tc>
          <w:tcPr>
            <w:tcW w:w="700" w:type="dxa"/>
            <w:tcMar>
              <w:top w:w="0" w:type="dxa"/>
              <w:bottom w:w="0" w:type="dxa"/>
            </w:tcMar>
            <w:vAlign w:val="center"/>
          </w:tcPr>
          <w:p w:rsidR="007210AD" w:rsidRDefault="008F3E59">
            <w:pPr>
              <w:keepNext/>
              <w:keepLines/>
              <w:spacing w:after="0" w:line="240" w:lineRule="auto"/>
            </w:pPr>
            <w:r>
              <w:rPr>
                <w:sz w:val="18"/>
              </w:rPr>
              <w:t>129</w:t>
            </w:r>
          </w:p>
        </w:tc>
        <w:tc>
          <w:tcPr>
            <w:tcW w:w="1860" w:type="dxa"/>
            <w:tcMar>
              <w:top w:w="0" w:type="dxa"/>
              <w:bottom w:w="0" w:type="dxa"/>
            </w:tcMar>
            <w:vAlign w:val="center"/>
          </w:tcPr>
          <w:p w:rsidR="007210AD" w:rsidRDefault="008F3E59">
            <w:pPr>
              <w:keepNext/>
              <w:keepLines/>
              <w:spacing w:after="0" w:line="240" w:lineRule="auto"/>
              <w:jc w:val="right"/>
            </w:pPr>
            <w:r>
              <w:rPr>
                <w:sz w:val="18"/>
              </w:rPr>
              <w:t>141,21</w:t>
            </w:r>
          </w:p>
        </w:tc>
        <w:tc>
          <w:tcPr>
            <w:tcW w:w="1860" w:type="dxa"/>
            <w:tcMar>
              <w:top w:w="0" w:type="dxa"/>
              <w:bottom w:w="0" w:type="dxa"/>
            </w:tcMar>
            <w:vAlign w:val="center"/>
          </w:tcPr>
          <w:p w:rsidR="007210AD" w:rsidRDefault="008F3E59">
            <w:pPr>
              <w:keepNext/>
              <w:keepLines/>
              <w:spacing w:after="0" w:line="240" w:lineRule="auto"/>
              <w:jc w:val="right"/>
            </w:pPr>
            <w:r>
              <w:rPr>
                <w:sz w:val="18"/>
              </w:rPr>
              <w:t>6.211,66</w:t>
            </w:r>
          </w:p>
        </w:tc>
        <w:tc>
          <w:tcPr>
            <w:tcW w:w="700" w:type="dxa"/>
            <w:tcMar>
              <w:top w:w="0" w:type="dxa"/>
              <w:bottom w:w="0" w:type="dxa"/>
            </w:tcMar>
            <w:vAlign w:val="center"/>
          </w:tcPr>
          <w:p w:rsidR="007210AD" w:rsidRDefault="008F3E59">
            <w:pPr>
              <w:keepNext/>
              <w:keepLines/>
              <w:spacing w:after="0" w:line="240" w:lineRule="auto"/>
              <w:jc w:val="right"/>
            </w:pPr>
            <w:r>
              <w:rPr>
                <w:sz w:val="18"/>
              </w:rPr>
              <w:t>4398,9</w:t>
            </w:r>
          </w:p>
        </w:tc>
      </w:tr>
    </w:tbl>
    <w:p w:rsidR="007210AD" w:rsidRDefault="007210AD">
      <w:pPr>
        <w:spacing w:after="0"/>
      </w:pPr>
    </w:p>
    <w:p w:rsidR="007210AD" w:rsidRDefault="008F3E59">
      <w:r>
        <w:t>Ostala potraživanja odnose se na potraživanja za bolovanje od HZZO-a, a veća su u odnosu na stanje na početku godine jer je u ovoj godini, unatoč redovnoj kompenzaciji potraživanja i obveza između HZZO-a i Ministarstva znanosti, obrazovanja i mladih, imamo dosta bolovanja iznad 42 dana i bolovanje zbog ozljede na radu.</w:t>
      </w:r>
    </w:p>
    <w:p w:rsidR="007210AD" w:rsidRDefault="007210AD"/>
    <w:p w:rsidR="007210AD" w:rsidRDefault="008F3E59">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1636</w:t>
            </w:r>
          </w:p>
        </w:tc>
        <w:tc>
          <w:tcPr>
            <w:tcW w:w="3180" w:type="dxa"/>
            <w:tcMar>
              <w:top w:w="0" w:type="dxa"/>
              <w:bottom w:w="0" w:type="dxa"/>
            </w:tcMar>
            <w:vAlign w:val="center"/>
          </w:tcPr>
          <w:p w:rsidR="007210AD" w:rsidRDefault="008F3E59">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7210AD" w:rsidRDefault="008F3E59">
            <w:pPr>
              <w:keepNext/>
              <w:keepLines/>
              <w:spacing w:after="0" w:line="240" w:lineRule="auto"/>
            </w:pPr>
            <w:r>
              <w:rPr>
                <w:sz w:val="18"/>
              </w:rPr>
              <w:t>1636</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1860" w:type="dxa"/>
            <w:tcMar>
              <w:top w:w="0" w:type="dxa"/>
              <w:bottom w:w="0" w:type="dxa"/>
            </w:tcMar>
            <w:vAlign w:val="center"/>
          </w:tcPr>
          <w:p w:rsidR="007210AD" w:rsidRDefault="008F3E59">
            <w:pPr>
              <w:keepNext/>
              <w:keepLines/>
              <w:spacing w:after="0" w:line="240" w:lineRule="auto"/>
              <w:jc w:val="right"/>
            </w:pPr>
            <w:r>
              <w:rPr>
                <w:sz w:val="18"/>
              </w:rPr>
              <w:t>168.608,96</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t>Razlog znatnog iznosa na potraživanjima za pomoći proračunskim korisnicima iz proračuna koji im nije nadležanje je što se od 2025. godine knjiži potraživanje za prihode poslovanja i obračunati prihodi poslovanja osim za nadležni proračun. Navedeno potraživanje odnosi se na trošak plaće za prosinac 2025. godine i zatvorit će se u siječnju 2026. godine kada Ministarstvo znanosti, obrazovanja i mladih isplati plaću za prosinac 2025. godine i na potraživanje za drugi dio isplate sredstava za psihodijagnostička sredstva.</w:t>
      </w:r>
    </w:p>
    <w:p w:rsidR="007210AD" w:rsidRDefault="007210AD"/>
    <w:p w:rsidR="007210AD" w:rsidRDefault="008F3E59">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167</w:t>
            </w:r>
          </w:p>
        </w:tc>
        <w:tc>
          <w:tcPr>
            <w:tcW w:w="3180" w:type="dxa"/>
            <w:tcMar>
              <w:top w:w="0" w:type="dxa"/>
              <w:bottom w:w="0" w:type="dxa"/>
            </w:tcMar>
            <w:vAlign w:val="center"/>
          </w:tcPr>
          <w:p w:rsidR="007210AD" w:rsidRDefault="008F3E59">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7210AD" w:rsidRDefault="008F3E59">
            <w:pPr>
              <w:keepNext/>
              <w:keepLines/>
              <w:spacing w:after="0" w:line="240" w:lineRule="auto"/>
            </w:pPr>
            <w:r>
              <w:rPr>
                <w:sz w:val="18"/>
              </w:rPr>
              <w:t>167</w:t>
            </w:r>
          </w:p>
        </w:tc>
        <w:tc>
          <w:tcPr>
            <w:tcW w:w="1860" w:type="dxa"/>
            <w:tcMar>
              <w:top w:w="0" w:type="dxa"/>
              <w:bottom w:w="0" w:type="dxa"/>
            </w:tcMar>
            <w:vAlign w:val="center"/>
          </w:tcPr>
          <w:p w:rsidR="007210AD" w:rsidRDefault="008F3E59">
            <w:pPr>
              <w:keepNext/>
              <w:keepLines/>
              <w:spacing w:after="0" w:line="240" w:lineRule="auto"/>
              <w:jc w:val="right"/>
            </w:pPr>
            <w:r>
              <w:rPr>
                <w:sz w:val="18"/>
              </w:rPr>
              <w:t>19.464,07</w:t>
            </w:r>
          </w:p>
        </w:tc>
        <w:tc>
          <w:tcPr>
            <w:tcW w:w="1860" w:type="dxa"/>
            <w:tcMar>
              <w:top w:w="0" w:type="dxa"/>
              <w:bottom w:w="0" w:type="dxa"/>
            </w:tcMar>
            <w:vAlign w:val="center"/>
          </w:tcPr>
          <w:p w:rsidR="007210AD" w:rsidRDefault="008F3E59">
            <w:pPr>
              <w:keepNext/>
              <w:keepLines/>
              <w:spacing w:after="0" w:line="240" w:lineRule="auto"/>
              <w:jc w:val="right"/>
            </w:pPr>
            <w:r>
              <w:rPr>
                <w:sz w:val="18"/>
              </w:rPr>
              <w:t>17.521,34</w:t>
            </w:r>
          </w:p>
        </w:tc>
        <w:tc>
          <w:tcPr>
            <w:tcW w:w="700" w:type="dxa"/>
            <w:tcMar>
              <w:top w:w="0" w:type="dxa"/>
              <w:bottom w:w="0" w:type="dxa"/>
            </w:tcMar>
            <w:vAlign w:val="center"/>
          </w:tcPr>
          <w:p w:rsidR="007210AD" w:rsidRDefault="008F3E59">
            <w:pPr>
              <w:keepNext/>
              <w:keepLines/>
              <w:spacing w:after="0" w:line="240" w:lineRule="auto"/>
              <w:jc w:val="right"/>
            </w:pPr>
            <w:r>
              <w:rPr>
                <w:sz w:val="18"/>
              </w:rPr>
              <w:t>90,0</w:t>
            </w:r>
          </w:p>
        </w:tc>
      </w:tr>
    </w:tbl>
    <w:p w:rsidR="007210AD" w:rsidRDefault="007210AD">
      <w:pPr>
        <w:spacing w:after="0"/>
      </w:pPr>
    </w:p>
    <w:p w:rsidR="007210AD" w:rsidRDefault="008F3E59">
      <w:r>
        <w:t>Potraživanja proračunskih korisnika za sredstva uplaćena u nadležni proračun su sredstva kojima škola raspolaže na podračunu Riznice Osječko-baranjske županije.</w:t>
      </w:r>
    </w:p>
    <w:p w:rsidR="007210AD" w:rsidRDefault="007210AD"/>
    <w:p w:rsidR="007210AD" w:rsidRDefault="008F3E59">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19</w:t>
            </w:r>
          </w:p>
        </w:tc>
        <w:tc>
          <w:tcPr>
            <w:tcW w:w="3180" w:type="dxa"/>
            <w:tcMar>
              <w:top w:w="0" w:type="dxa"/>
              <w:bottom w:w="0" w:type="dxa"/>
            </w:tcMar>
            <w:vAlign w:val="center"/>
          </w:tcPr>
          <w:p w:rsidR="007210AD" w:rsidRDefault="008F3E59">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rsidR="007210AD" w:rsidRDefault="008F3E59">
            <w:pPr>
              <w:keepNext/>
              <w:keepLines/>
              <w:spacing w:after="0" w:line="240" w:lineRule="auto"/>
            </w:pPr>
            <w:r>
              <w:rPr>
                <w:sz w:val="18"/>
              </w:rPr>
              <w:t>19</w:t>
            </w:r>
          </w:p>
        </w:tc>
        <w:tc>
          <w:tcPr>
            <w:tcW w:w="1860" w:type="dxa"/>
            <w:tcMar>
              <w:top w:w="0" w:type="dxa"/>
              <w:bottom w:w="0" w:type="dxa"/>
            </w:tcMar>
            <w:vAlign w:val="center"/>
          </w:tcPr>
          <w:p w:rsidR="007210AD" w:rsidRDefault="008F3E59">
            <w:pPr>
              <w:keepNext/>
              <w:keepLines/>
              <w:spacing w:after="0" w:line="240" w:lineRule="auto"/>
              <w:jc w:val="right"/>
            </w:pPr>
            <w:r>
              <w:rPr>
                <w:sz w:val="18"/>
              </w:rPr>
              <w:t>149.722,57</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t>Rashodi budućih razdoblja na kraju izvještajnog razdoblja su 0,00 eura, a razlog je što se plaća za prosinac više ne knjiži na kontinuirane rashode budućih razdoblja, već kao trošak tekućeg razdoblja.</w:t>
      </w:r>
    </w:p>
    <w:p w:rsidR="007210AD" w:rsidRDefault="007210AD"/>
    <w:p w:rsidR="007210AD" w:rsidRDefault="008F3E59">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231</w:t>
            </w:r>
          </w:p>
        </w:tc>
        <w:tc>
          <w:tcPr>
            <w:tcW w:w="3180" w:type="dxa"/>
            <w:tcMar>
              <w:top w:w="0" w:type="dxa"/>
              <w:bottom w:w="0" w:type="dxa"/>
            </w:tcMar>
            <w:vAlign w:val="center"/>
          </w:tcPr>
          <w:p w:rsidR="007210AD" w:rsidRDefault="008F3E59">
            <w:pPr>
              <w:keepNext/>
              <w:keepLines/>
              <w:spacing w:after="0" w:line="240" w:lineRule="auto"/>
            </w:pPr>
            <w:r>
              <w:rPr>
                <w:sz w:val="18"/>
              </w:rPr>
              <w:t>Obveze za zaposlene</w:t>
            </w:r>
          </w:p>
        </w:tc>
        <w:tc>
          <w:tcPr>
            <w:tcW w:w="700" w:type="dxa"/>
            <w:tcMar>
              <w:top w:w="0" w:type="dxa"/>
              <w:bottom w:w="0" w:type="dxa"/>
            </w:tcMar>
            <w:vAlign w:val="center"/>
          </w:tcPr>
          <w:p w:rsidR="007210AD" w:rsidRDefault="008F3E59">
            <w:pPr>
              <w:keepNext/>
              <w:keepLines/>
              <w:spacing w:after="0" w:line="240" w:lineRule="auto"/>
            </w:pPr>
            <w:r>
              <w:rPr>
                <w:sz w:val="18"/>
              </w:rPr>
              <w:t>231</w:t>
            </w:r>
          </w:p>
        </w:tc>
        <w:tc>
          <w:tcPr>
            <w:tcW w:w="1860" w:type="dxa"/>
            <w:tcMar>
              <w:top w:w="0" w:type="dxa"/>
              <w:bottom w:w="0" w:type="dxa"/>
            </w:tcMar>
            <w:vAlign w:val="center"/>
          </w:tcPr>
          <w:p w:rsidR="007210AD" w:rsidRDefault="008F3E59">
            <w:pPr>
              <w:keepNext/>
              <w:keepLines/>
              <w:spacing w:after="0" w:line="240" w:lineRule="auto"/>
              <w:jc w:val="right"/>
            </w:pPr>
            <w:r>
              <w:rPr>
                <w:sz w:val="18"/>
              </w:rPr>
              <w:t>144.619,57</w:t>
            </w:r>
          </w:p>
        </w:tc>
        <w:tc>
          <w:tcPr>
            <w:tcW w:w="1860" w:type="dxa"/>
            <w:tcMar>
              <w:top w:w="0" w:type="dxa"/>
              <w:bottom w:w="0" w:type="dxa"/>
            </w:tcMar>
            <w:vAlign w:val="center"/>
          </w:tcPr>
          <w:p w:rsidR="007210AD" w:rsidRDefault="008F3E59">
            <w:pPr>
              <w:keepNext/>
              <w:keepLines/>
              <w:spacing w:after="0" w:line="240" w:lineRule="auto"/>
              <w:jc w:val="right"/>
            </w:pPr>
            <w:r>
              <w:rPr>
                <w:sz w:val="18"/>
              </w:rPr>
              <w:t>156.509,66</w:t>
            </w:r>
          </w:p>
        </w:tc>
        <w:tc>
          <w:tcPr>
            <w:tcW w:w="700" w:type="dxa"/>
            <w:tcMar>
              <w:top w:w="0" w:type="dxa"/>
              <w:bottom w:w="0" w:type="dxa"/>
            </w:tcMar>
            <w:vAlign w:val="center"/>
          </w:tcPr>
          <w:p w:rsidR="007210AD" w:rsidRDefault="008F3E59">
            <w:pPr>
              <w:keepNext/>
              <w:keepLines/>
              <w:spacing w:after="0" w:line="240" w:lineRule="auto"/>
              <w:jc w:val="right"/>
            </w:pPr>
            <w:r>
              <w:rPr>
                <w:sz w:val="18"/>
              </w:rPr>
              <w:t>108,2</w:t>
            </w:r>
          </w:p>
        </w:tc>
      </w:tr>
    </w:tbl>
    <w:p w:rsidR="007210AD" w:rsidRDefault="007210AD">
      <w:pPr>
        <w:spacing w:after="0"/>
      </w:pPr>
    </w:p>
    <w:p w:rsidR="007210AD" w:rsidRDefault="008F3E59">
      <w:r>
        <w:t>Obveze za zaposlene na kraju izvještajnog razdoblja veće su za 11.890,09 eura što je rezultat povećanja osnovice za obračun plaće i minulog rada. Obveze za zaposlene u iznosu od 156.509,66 € odnose se na obveze za plaću za mjesec prosinac 2025. godine i to: za zaposlenike škole koje financira MZOM u iznosu od 155.424,46 €; za pomoćnicu u nastavi iz projekta „Učimo zajedno 8“ u iznosu od 1.085,20 € a dospijevaju do 15.01.2026. godine.</w:t>
      </w:r>
    </w:p>
    <w:p w:rsidR="007210AD" w:rsidRDefault="007210AD"/>
    <w:p w:rsidR="007210AD" w:rsidRDefault="008F3E59">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232</w:t>
            </w:r>
          </w:p>
        </w:tc>
        <w:tc>
          <w:tcPr>
            <w:tcW w:w="3180" w:type="dxa"/>
            <w:tcMar>
              <w:top w:w="0" w:type="dxa"/>
              <w:bottom w:w="0" w:type="dxa"/>
            </w:tcMar>
            <w:vAlign w:val="center"/>
          </w:tcPr>
          <w:p w:rsidR="007210AD" w:rsidRDefault="008F3E59">
            <w:pPr>
              <w:keepNext/>
              <w:keepLines/>
              <w:spacing w:after="0" w:line="240" w:lineRule="auto"/>
            </w:pPr>
            <w:r>
              <w:rPr>
                <w:sz w:val="18"/>
              </w:rPr>
              <w:t>Obveze za materijalne rashode</w:t>
            </w:r>
          </w:p>
        </w:tc>
        <w:tc>
          <w:tcPr>
            <w:tcW w:w="700" w:type="dxa"/>
            <w:tcMar>
              <w:top w:w="0" w:type="dxa"/>
              <w:bottom w:w="0" w:type="dxa"/>
            </w:tcMar>
            <w:vAlign w:val="center"/>
          </w:tcPr>
          <w:p w:rsidR="007210AD" w:rsidRDefault="008F3E59">
            <w:pPr>
              <w:keepNext/>
              <w:keepLines/>
              <w:spacing w:after="0" w:line="240" w:lineRule="auto"/>
            </w:pPr>
            <w:r>
              <w:rPr>
                <w:sz w:val="18"/>
              </w:rPr>
              <w:t>232</w:t>
            </w:r>
          </w:p>
        </w:tc>
        <w:tc>
          <w:tcPr>
            <w:tcW w:w="1860" w:type="dxa"/>
            <w:tcMar>
              <w:top w:w="0" w:type="dxa"/>
              <w:bottom w:w="0" w:type="dxa"/>
            </w:tcMar>
            <w:vAlign w:val="center"/>
          </w:tcPr>
          <w:p w:rsidR="007210AD" w:rsidRDefault="008F3E59">
            <w:pPr>
              <w:keepNext/>
              <w:keepLines/>
              <w:spacing w:after="0" w:line="240" w:lineRule="auto"/>
              <w:jc w:val="right"/>
            </w:pPr>
            <w:r>
              <w:rPr>
                <w:sz w:val="18"/>
              </w:rPr>
              <w:t>16.899,15</w:t>
            </w:r>
          </w:p>
        </w:tc>
        <w:tc>
          <w:tcPr>
            <w:tcW w:w="1860" w:type="dxa"/>
            <w:tcMar>
              <w:top w:w="0" w:type="dxa"/>
              <w:bottom w:w="0" w:type="dxa"/>
            </w:tcMar>
            <w:vAlign w:val="center"/>
          </w:tcPr>
          <w:p w:rsidR="007210AD" w:rsidRDefault="008F3E59">
            <w:pPr>
              <w:keepNext/>
              <w:keepLines/>
              <w:spacing w:after="0" w:line="240" w:lineRule="auto"/>
              <w:jc w:val="right"/>
            </w:pPr>
            <w:r>
              <w:rPr>
                <w:sz w:val="18"/>
              </w:rPr>
              <w:t>22.081,88</w:t>
            </w:r>
          </w:p>
        </w:tc>
        <w:tc>
          <w:tcPr>
            <w:tcW w:w="700" w:type="dxa"/>
            <w:tcMar>
              <w:top w:w="0" w:type="dxa"/>
              <w:bottom w:w="0" w:type="dxa"/>
            </w:tcMar>
            <w:vAlign w:val="center"/>
          </w:tcPr>
          <w:p w:rsidR="007210AD" w:rsidRDefault="008F3E59">
            <w:pPr>
              <w:keepNext/>
              <w:keepLines/>
              <w:spacing w:after="0" w:line="240" w:lineRule="auto"/>
              <w:jc w:val="right"/>
            </w:pPr>
            <w:r>
              <w:rPr>
                <w:sz w:val="18"/>
              </w:rPr>
              <w:t>130,7</w:t>
            </w:r>
          </w:p>
        </w:tc>
      </w:tr>
    </w:tbl>
    <w:p w:rsidR="007210AD" w:rsidRDefault="007210AD">
      <w:pPr>
        <w:spacing w:after="0"/>
      </w:pPr>
    </w:p>
    <w:p w:rsidR="007210AD" w:rsidRDefault="008F3E59">
      <w:r>
        <w:t>Obveze za materijalne rashode na kraju izvještajnog razdoblja veće su za 5.182,73 eura, a razlog tome je što je financijski zbroj računa koji se odnose na 2025. godinu a plaćeni su u 2026. godini veći nego financijski zbroj računa za 2024. godinu koji je plaćen u siječnju 2025. godine. Obveze za materijalne rashode iznose 22.081,88 € od čega su nedospjele 21.371,60 €, a dospjele 710,28 €. Odnose se na troškove za obavljanje redovnog poslovanja, prijevoz djelatnika na posao i s posla za prosinac 2025. godine, te loko vožnju za prosinac 2025. godine.</w:t>
      </w:r>
    </w:p>
    <w:p w:rsidR="007210AD" w:rsidRDefault="007210AD"/>
    <w:p w:rsidR="007210AD" w:rsidRDefault="008F3E59">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237</w:t>
            </w:r>
          </w:p>
        </w:tc>
        <w:tc>
          <w:tcPr>
            <w:tcW w:w="3180" w:type="dxa"/>
            <w:tcMar>
              <w:top w:w="0" w:type="dxa"/>
              <w:bottom w:w="0" w:type="dxa"/>
            </w:tcMar>
            <w:vAlign w:val="center"/>
          </w:tcPr>
          <w:p w:rsidR="007210AD" w:rsidRDefault="008F3E59">
            <w:pPr>
              <w:keepNext/>
              <w:keepLines/>
              <w:spacing w:after="0" w:line="240" w:lineRule="auto"/>
            </w:pPr>
            <w:r>
              <w:rPr>
                <w:sz w:val="18"/>
              </w:rPr>
              <w:t>Obveze za naknade građanima i kućanstvima</w:t>
            </w:r>
          </w:p>
        </w:tc>
        <w:tc>
          <w:tcPr>
            <w:tcW w:w="700" w:type="dxa"/>
            <w:tcMar>
              <w:top w:w="0" w:type="dxa"/>
              <w:bottom w:w="0" w:type="dxa"/>
            </w:tcMar>
            <w:vAlign w:val="center"/>
          </w:tcPr>
          <w:p w:rsidR="007210AD" w:rsidRDefault="008F3E59">
            <w:pPr>
              <w:keepNext/>
              <w:keepLines/>
              <w:spacing w:after="0" w:line="240" w:lineRule="auto"/>
            </w:pPr>
            <w:r>
              <w:rPr>
                <w:sz w:val="18"/>
              </w:rPr>
              <w:t>237</w:t>
            </w:r>
          </w:p>
        </w:tc>
        <w:tc>
          <w:tcPr>
            <w:tcW w:w="1860" w:type="dxa"/>
            <w:tcMar>
              <w:top w:w="0" w:type="dxa"/>
              <w:bottom w:w="0" w:type="dxa"/>
            </w:tcMar>
            <w:vAlign w:val="center"/>
          </w:tcPr>
          <w:p w:rsidR="007210AD" w:rsidRDefault="008F3E59">
            <w:pPr>
              <w:keepNext/>
              <w:keepLines/>
              <w:spacing w:after="0" w:line="240" w:lineRule="auto"/>
              <w:jc w:val="right"/>
            </w:pPr>
            <w:r>
              <w:rPr>
                <w:sz w:val="18"/>
              </w:rPr>
              <w:t>16.586,00</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t>Na početku izvještajnog razdoblja imali smo obveze za naknade građanima i kućanstvima koje su se odnosile na nabavu udžbenika za učenike. Ministarstvo znanosti, obrazovanja i mladih nije nam doznačilo sredstva u 2024. godini pa obveze nismo mogli ni podmiriti. Sredstva su doznačena u 2025. godini. Sredstva za nabavu udžbenika za 2025. godinu doznačena su nam u 2025. godini tako da na kraju izvještajnog razdoblja nemamo navedene obveze.</w:t>
      </w:r>
    </w:p>
    <w:p w:rsidR="007210AD" w:rsidRDefault="007210AD"/>
    <w:p w:rsidR="007210AD" w:rsidRDefault="008F3E59">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239</w:t>
            </w:r>
          </w:p>
        </w:tc>
        <w:tc>
          <w:tcPr>
            <w:tcW w:w="3180" w:type="dxa"/>
            <w:tcMar>
              <w:top w:w="0" w:type="dxa"/>
              <w:bottom w:w="0" w:type="dxa"/>
            </w:tcMar>
            <w:vAlign w:val="center"/>
          </w:tcPr>
          <w:p w:rsidR="007210AD" w:rsidRDefault="008F3E59">
            <w:pPr>
              <w:keepNext/>
              <w:keepLines/>
              <w:spacing w:after="0" w:line="240" w:lineRule="auto"/>
            </w:pPr>
            <w:r>
              <w:rPr>
                <w:sz w:val="18"/>
              </w:rPr>
              <w:t>Ostale tekuće obveze</w:t>
            </w:r>
          </w:p>
        </w:tc>
        <w:tc>
          <w:tcPr>
            <w:tcW w:w="700" w:type="dxa"/>
            <w:tcMar>
              <w:top w:w="0" w:type="dxa"/>
              <w:bottom w:w="0" w:type="dxa"/>
            </w:tcMar>
            <w:vAlign w:val="center"/>
          </w:tcPr>
          <w:p w:rsidR="007210AD" w:rsidRDefault="008F3E59">
            <w:pPr>
              <w:keepNext/>
              <w:keepLines/>
              <w:spacing w:after="0" w:line="240" w:lineRule="auto"/>
            </w:pPr>
            <w:r>
              <w:rPr>
                <w:sz w:val="18"/>
              </w:rPr>
              <w:t>239</w:t>
            </w:r>
          </w:p>
        </w:tc>
        <w:tc>
          <w:tcPr>
            <w:tcW w:w="1860" w:type="dxa"/>
            <w:tcMar>
              <w:top w:w="0" w:type="dxa"/>
              <w:bottom w:w="0" w:type="dxa"/>
            </w:tcMar>
            <w:vAlign w:val="center"/>
          </w:tcPr>
          <w:p w:rsidR="007210AD" w:rsidRDefault="008F3E59">
            <w:pPr>
              <w:keepNext/>
              <w:keepLines/>
              <w:spacing w:after="0" w:line="240" w:lineRule="auto"/>
              <w:jc w:val="right"/>
            </w:pPr>
            <w:r>
              <w:rPr>
                <w:sz w:val="18"/>
              </w:rPr>
              <w:t>2.556,20</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t>Na početku izvještajnog razdoblja Ostale tekuće obveze odnosile su se na naknade za bolovanje na teret HZZO-a i pogrešno doznačena sredstva Ministarstva znanosti, obrazovanja i mladih. Prema novom pravilnku o proračunskom knjigovodstvu i računskom planu navedena sredstva od.01.01.2025. knjiže se na konto 27611001.</w:t>
      </w:r>
    </w:p>
    <w:p w:rsidR="007210AD" w:rsidRDefault="007210AD"/>
    <w:p w:rsidR="007210AD" w:rsidRDefault="008F3E59">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24</w:t>
            </w:r>
          </w:p>
        </w:tc>
        <w:tc>
          <w:tcPr>
            <w:tcW w:w="3180" w:type="dxa"/>
            <w:tcMar>
              <w:top w:w="0" w:type="dxa"/>
              <w:bottom w:w="0" w:type="dxa"/>
            </w:tcMar>
            <w:vAlign w:val="center"/>
          </w:tcPr>
          <w:p w:rsidR="007210AD" w:rsidRDefault="008F3E59">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7210AD" w:rsidRDefault="008F3E59">
            <w:pPr>
              <w:keepNext/>
              <w:keepLines/>
              <w:spacing w:after="0" w:line="240" w:lineRule="auto"/>
            </w:pPr>
            <w:r>
              <w:rPr>
                <w:sz w:val="18"/>
              </w:rPr>
              <w:t>24</w:t>
            </w:r>
          </w:p>
        </w:tc>
        <w:tc>
          <w:tcPr>
            <w:tcW w:w="1860" w:type="dxa"/>
            <w:tcMar>
              <w:top w:w="0" w:type="dxa"/>
              <w:bottom w:w="0" w:type="dxa"/>
            </w:tcMar>
            <w:vAlign w:val="center"/>
          </w:tcPr>
          <w:p w:rsidR="007210AD" w:rsidRDefault="008F3E59">
            <w:pPr>
              <w:keepNext/>
              <w:keepLines/>
              <w:spacing w:after="0" w:line="240" w:lineRule="auto"/>
              <w:jc w:val="right"/>
            </w:pPr>
            <w:r>
              <w:rPr>
                <w:sz w:val="18"/>
              </w:rPr>
              <w:t>2.392,80</w:t>
            </w:r>
          </w:p>
        </w:tc>
        <w:tc>
          <w:tcPr>
            <w:tcW w:w="1860" w:type="dxa"/>
            <w:tcMar>
              <w:top w:w="0" w:type="dxa"/>
              <w:bottom w:w="0" w:type="dxa"/>
            </w:tcMar>
            <w:vAlign w:val="center"/>
          </w:tcPr>
          <w:p w:rsidR="007210AD" w:rsidRDefault="008F3E59">
            <w:pPr>
              <w:keepNext/>
              <w:keepLines/>
              <w:spacing w:after="0" w:line="240" w:lineRule="auto"/>
              <w:jc w:val="right"/>
            </w:pPr>
            <w:r>
              <w:rPr>
                <w:sz w:val="18"/>
              </w:rPr>
              <w:t>1.071,53</w:t>
            </w:r>
          </w:p>
        </w:tc>
        <w:tc>
          <w:tcPr>
            <w:tcW w:w="700" w:type="dxa"/>
            <w:tcMar>
              <w:top w:w="0" w:type="dxa"/>
              <w:bottom w:w="0" w:type="dxa"/>
            </w:tcMar>
            <w:vAlign w:val="center"/>
          </w:tcPr>
          <w:p w:rsidR="007210AD" w:rsidRDefault="008F3E59">
            <w:pPr>
              <w:keepNext/>
              <w:keepLines/>
              <w:spacing w:after="0" w:line="240" w:lineRule="auto"/>
              <w:jc w:val="right"/>
            </w:pPr>
            <w:r>
              <w:rPr>
                <w:sz w:val="18"/>
              </w:rPr>
              <w:t>44,8</w:t>
            </w:r>
          </w:p>
        </w:tc>
      </w:tr>
    </w:tbl>
    <w:p w:rsidR="007210AD" w:rsidRDefault="007210AD">
      <w:pPr>
        <w:spacing w:after="0"/>
      </w:pPr>
    </w:p>
    <w:p w:rsidR="007210AD" w:rsidRDefault="008F3E59">
      <w:r>
        <w:t>Obveze za nabavu proizvedene dugotrajne imovine iznose 1.071,53 € i nedospjele su. Odnose se na račun poslovnog subjekta METRO CASH &amp; CARRY D.O.O. za nabavu konvekcijske pećnice za potrebe kuhinje.</w:t>
      </w:r>
    </w:p>
    <w:p w:rsidR="007210AD" w:rsidRDefault="007210AD"/>
    <w:p w:rsidR="007210AD" w:rsidRDefault="008F3E59">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27</w:t>
            </w:r>
          </w:p>
        </w:tc>
        <w:tc>
          <w:tcPr>
            <w:tcW w:w="3180" w:type="dxa"/>
            <w:tcMar>
              <w:top w:w="0" w:type="dxa"/>
              <w:bottom w:w="0" w:type="dxa"/>
            </w:tcMar>
            <w:vAlign w:val="center"/>
          </w:tcPr>
          <w:p w:rsidR="007210AD" w:rsidRDefault="008F3E59">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7210AD" w:rsidRDefault="008F3E59">
            <w:pPr>
              <w:keepNext/>
              <w:keepLines/>
              <w:spacing w:after="0" w:line="240" w:lineRule="auto"/>
            </w:pPr>
            <w:r>
              <w:rPr>
                <w:sz w:val="18"/>
              </w:rPr>
              <w:t>27</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1860" w:type="dxa"/>
            <w:tcMar>
              <w:top w:w="0" w:type="dxa"/>
              <w:bottom w:w="0" w:type="dxa"/>
            </w:tcMar>
            <w:vAlign w:val="center"/>
          </w:tcPr>
          <w:p w:rsidR="007210AD" w:rsidRDefault="008F3E59">
            <w:pPr>
              <w:keepNext/>
              <w:keepLines/>
              <w:spacing w:after="0" w:line="240" w:lineRule="auto"/>
              <w:jc w:val="right"/>
            </w:pPr>
            <w:r>
              <w:rPr>
                <w:sz w:val="18"/>
              </w:rPr>
              <w:t>2.851,42</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lastRenderedPageBreak/>
        <w:t>Prema novom pravilnku o proračunskom knjigovodstvu i računskom planu sredstva za bolovanje na teret HZZO-a od.01.01.2025. knjiže se na konto 27611001.</w:t>
      </w:r>
    </w:p>
    <w:p w:rsidR="007210AD" w:rsidRDefault="007210AD"/>
    <w:p w:rsidR="007210AD" w:rsidRDefault="008F3E59">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92221</w:t>
            </w:r>
          </w:p>
        </w:tc>
        <w:tc>
          <w:tcPr>
            <w:tcW w:w="3180" w:type="dxa"/>
            <w:tcMar>
              <w:top w:w="0" w:type="dxa"/>
              <w:bottom w:w="0" w:type="dxa"/>
            </w:tcMar>
            <w:vAlign w:val="center"/>
          </w:tcPr>
          <w:p w:rsidR="007210AD" w:rsidRDefault="008F3E59">
            <w:pPr>
              <w:keepNext/>
              <w:keepLines/>
              <w:spacing w:after="0" w:line="240" w:lineRule="auto"/>
            </w:pPr>
            <w:r>
              <w:rPr>
                <w:sz w:val="18"/>
              </w:rPr>
              <w:t>Manjak prihoda poslovanja</w:t>
            </w:r>
          </w:p>
        </w:tc>
        <w:tc>
          <w:tcPr>
            <w:tcW w:w="700" w:type="dxa"/>
            <w:tcMar>
              <w:top w:w="0" w:type="dxa"/>
              <w:bottom w:w="0" w:type="dxa"/>
            </w:tcMar>
            <w:vAlign w:val="center"/>
          </w:tcPr>
          <w:p w:rsidR="007210AD" w:rsidRDefault="008F3E59">
            <w:pPr>
              <w:keepNext/>
              <w:keepLines/>
              <w:spacing w:after="0" w:line="240" w:lineRule="auto"/>
            </w:pPr>
            <w:r>
              <w:rPr>
                <w:sz w:val="18"/>
              </w:rPr>
              <w:t>92221</w:t>
            </w:r>
          </w:p>
        </w:tc>
        <w:tc>
          <w:tcPr>
            <w:tcW w:w="1860" w:type="dxa"/>
            <w:tcMar>
              <w:top w:w="0" w:type="dxa"/>
              <w:bottom w:w="0" w:type="dxa"/>
            </w:tcMar>
            <w:vAlign w:val="center"/>
          </w:tcPr>
          <w:p w:rsidR="007210AD" w:rsidRDefault="008F3E59">
            <w:pPr>
              <w:keepNext/>
              <w:keepLines/>
              <w:spacing w:after="0" w:line="240" w:lineRule="auto"/>
              <w:jc w:val="right"/>
            </w:pPr>
            <w:r>
              <w:rPr>
                <w:sz w:val="18"/>
              </w:rPr>
              <w:t>7.004,65</w:t>
            </w:r>
          </w:p>
        </w:tc>
        <w:tc>
          <w:tcPr>
            <w:tcW w:w="1860" w:type="dxa"/>
            <w:tcMar>
              <w:top w:w="0" w:type="dxa"/>
              <w:bottom w:w="0" w:type="dxa"/>
            </w:tcMar>
            <w:vAlign w:val="center"/>
          </w:tcPr>
          <w:p w:rsidR="007210AD" w:rsidRDefault="008F3E59">
            <w:pPr>
              <w:keepNext/>
              <w:keepLines/>
              <w:spacing w:after="0" w:line="240" w:lineRule="auto"/>
              <w:jc w:val="right"/>
            </w:pPr>
            <w:r>
              <w:rPr>
                <w:sz w:val="18"/>
              </w:rPr>
              <w:t>149.300,12</w:t>
            </w:r>
          </w:p>
        </w:tc>
        <w:tc>
          <w:tcPr>
            <w:tcW w:w="700" w:type="dxa"/>
            <w:tcMar>
              <w:top w:w="0" w:type="dxa"/>
              <w:bottom w:w="0" w:type="dxa"/>
            </w:tcMar>
            <w:vAlign w:val="center"/>
          </w:tcPr>
          <w:p w:rsidR="007210AD" w:rsidRDefault="008F3E59">
            <w:pPr>
              <w:keepNext/>
              <w:keepLines/>
              <w:spacing w:after="0" w:line="240" w:lineRule="auto"/>
              <w:jc w:val="right"/>
            </w:pPr>
            <w:r>
              <w:rPr>
                <w:sz w:val="18"/>
              </w:rPr>
              <w:t>2131,4</w:t>
            </w:r>
          </w:p>
        </w:tc>
      </w:tr>
    </w:tbl>
    <w:p w:rsidR="007210AD" w:rsidRDefault="007210AD">
      <w:pPr>
        <w:spacing w:after="0"/>
      </w:pPr>
    </w:p>
    <w:p w:rsidR="007210AD" w:rsidRDefault="008F3E59">
      <w:r>
        <w:t>Manjak prihoda poslovanja je metodološki manjak i nastao je kao rezultat knjiženja potraživanja za plaću za prosinac 2025. godine koje će biti zatvoreno kada Ministarstvo znanosti, obrazovanja i mladih isplati plaću u siječnju 2026. godine za prosinac 2025.</w:t>
      </w:r>
    </w:p>
    <w:p w:rsidR="007210AD" w:rsidRDefault="007210AD"/>
    <w:p w:rsidR="007210AD" w:rsidRDefault="008F3E59">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92222</w:t>
            </w:r>
          </w:p>
        </w:tc>
        <w:tc>
          <w:tcPr>
            <w:tcW w:w="3180" w:type="dxa"/>
            <w:tcMar>
              <w:top w:w="0" w:type="dxa"/>
              <w:bottom w:w="0" w:type="dxa"/>
            </w:tcMar>
            <w:vAlign w:val="center"/>
          </w:tcPr>
          <w:p w:rsidR="007210AD" w:rsidRDefault="008F3E59">
            <w:pPr>
              <w:keepNext/>
              <w:keepLines/>
              <w:spacing w:after="0" w:line="240" w:lineRule="auto"/>
            </w:pPr>
            <w:r>
              <w:rPr>
                <w:sz w:val="18"/>
              </w:rPr>
              <w:t>Manjak prihoda od nefinancijske imovine</w:t>
            </w:r>
          </w:p>
        </w:tc>
        <w:tc>
          <w:tcPr>
            <w:tcW w:w="700" w:type="dxa"/>
            <w:tcMar>
              <w:top w:w="0" w:type="dxa"/>
              <w:bottom w:w="0" w:type="dxa"/>
            </w:tcMar>
            <w:vAlign w:val="center"/>
          </w:tcPr>
          <w:p w:rsidR="007210AD" w:rsidRDefault="008F3E59">
            <w:pPr>
              <w:keepNext/>
              <w:keepLines/>
              <w:spacing w:after="0" w:line="240" w:lineRule="auto"/>
            </w:pPr>
            <w:r>
              <w:rPr>
                <w:sz w:val="18"/>
              </w:rPr>
              <w:t>92222</w:t>
            </w:r>
          </w:p>
        </w:tc>
        <w:tc>
          <w:tcPr>
            <w:tcW w:w="1860" w:type="dxa"/>
            <w:tcMar>
              <w:top w:w="0" w:type="dxa"/>
              <w:bottom w:w="0" w:type="dxa"/>
            </w:tcMar>
            <w:vAlign w:val="center"/>
          </w:tcPr>
          <w:p w:rsidR="007210AD" w:rsidRDefault="008F3E59">
            <w:pPr>
              <w:keepNext/>
              <w:keepLines/>
              <w:spacing w:after="0" w:line="240" w:lineRule="auto"/>
              <w:jc w:val="right"/>
            </w:pPr>
            <w:r>
              <w:rPr>
                <w:sz w:val="18"/>
              </w:rPr>
              <w:t>6.721,22</w:t>
            </w:r>
          </w:p>
        </w:tc>
        <w:tc>
          <w:tcPr>
            <w:tcW w:w="1860" w:type="dxa"/>
            <w:tcMar>
              <w:top w:w="0" w:type="dxa"/>
              <w:bottom w:w="0" w:type="dxa"/>
            </w:tcMar>
            <w:vAlign w:val="center"/>
          </w:tcPr>
          <w:p w:rsidR="007210AD" w:rsidRDefault="008F3E59">
            <w:pPr>
              <w:keepNext/>
              <w:keepLines/>
              <w:spacing w:after="0" w:line="240" w:lineRule="auto"/>
              <w:jc w:val="right"/>
            </w:pPr>
            <w:r>
              <w:rPr>
                <w:sz w:val="18"/>
              </w:rPr>
              <w:t>9.481,37</w:t>
            </w:r>
          </w:p>
        </w:tc>
        <w:tc>
          <w:tcPr>
            <w:tcW w:w="700" w:type="dxa"/>
            <w:tcMar>
              <w:top w:w="0" w:type="dxa"/>
              <w:bottom w:w="0" w:type="dxa"/>
            </w:tcMar>
            <w:vAlign w:val="center"/>
          </w:tcPr>
          <w:p w:rsidR="007210AD" w:rsidRDefault="008F3E59">
            <w:pPr>
              <w:keepNext/>
              <w:keepLines/>
              <w:spacing w:after="0" w:line="240" w:lineRule="auto"/>
              <w:jc w:val="right"/>
            </w:pPr>
            <w:r>
              <w:rPr>
                <w:sz w:val="18"/>
              </w:rPr>
              <w:t>141,1</w:t>
            </w:r>
          </w:p>
        </w:tc>
      </w:tr>
    </w:tbl>
    <w:p w:rsidR="007210AD" w:rsidRDefault="007210AD">
      <w:pPr>
        <w:spacing w:after="0"/>
      </w:pPr>
    </w:p>
    <w:p w:rsidR="007210AD" w:rsidRDefault="008F3E59">
      <w:r>
        <w:t>Manjak je ostvaren u visini od 9.481,37 eura, a nastao je kao zbroj prenesenog manjka prihoda u visini 6.721,22 eura i ostvarenog manjka prihoda tekuće godine po PR-RAS obrascu šifra Y002 u visini 19.296,74 eura, umanjenog za korekciju rezultata za kapitalne prihode u visini od 16.536,59  eura. </w:t>
      </w:r>
    </w:p>
    <w:p w:rsidR="007210AD" w:rsidRDefault="008F3E59">
      <w:r>
        <w:t>            Tijekom 2025. godine dobili smo kapitalna sredstva klasificirana kao prihodi redovnog poslovanja koji su iskorišteni za nabavu dugotrajne nefinancijske imovine u iznosu od 16.536,59 eura. Kapitalna  sredstva kojima je financirana nabava nefinancijske imovine odnose se na:</w:t>
      </w:r>
    </w:p>
    <w:p w:rsidR="007210AD" w:rsidRDefault="008F3E59">
      <w:r>
        <w:t>6362 Kapitalne pomoći prorač. korisnicima iz proračuna koji im nije nadležan =9.773,10 €</w:t>
      </w:r>
    </w:p>
    <w:p w:rsidR="007210AD" w:rsidRDefault="008F3E59">
      <w:r>
        <w:t>6632 Kapitalne donacije = 554,49</w:t>
      </w:r>
    </w:p>
    <w:p w:rsidR="007210AD" w:rsidRDefault="008F3E59">
      <w:r>
        <w:t>6712 Prihodi iz nadležnog proračuna za finan. rashoda za nabavu nefin. imovine =6.209,00 €</w:t>
      </w:r>
    </w:p>
    <w:p w:rsidR="007210AD" w:rsidRDefault="007210AD"/>
    <w:p w:rsidR="007210AD" w:rsidRDefault="008F3E59">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96</w:t>
            </w:r>
          </w:p>
        </w:tc>
        <w:tc>
          <w:tcPr>
            <w:tcW w:w="3180" w:type="dxa"/>
            <w:tcMar>
              <w:top w:w="0" w:type="dxa"/>
              <w:bottom w:w="0" w:type="dxa"/>
            </w:tcMar>
            <w:vAlign w:val="center"/>
          </w:tcPr>
          <w:p w:rsidR="007210AD" w:rsidRDefault="008F3E59">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7210AD" w:rsidRDefault="008F3E59">
            <w:pPr>
              <w:keepNext/>
              <w:keepLines/>
              <w:spacing w:after="0" w:line="240" w:lineRule="auto"/>
            </w:pPr>
            <w:r>
              <w:rPr>
                <w:sz w:val="18"/>
              </w:rPr>
              <w:t>96</w:t>
            </w:r>
          </w:p>
        </w:tc>
        <w:tc>
          <w:tcPr>
            <w:tcW w:w="1860" w:type="dxa"/>
            <w:tcMar>
              <w:top w:w="0" w:type="dxa"/>
              <w:bottom w:w="0" w:type="dxa"/>
            </w:tcMar>
            <w:vAlign w:val="center"/>
          </w:tcPr>
          <w:p w:rsidR="007210AD" w:rsidRDefault="008F3E59">
            <w:pPr>
              <w:keepNext/>
              <w:keepLines/>
              <w:spacing w:after="0" w:line="240" w:lineRule="auto"/>
              <w:jc w:val="right"/>
            </w:pPr>
            <w:r>
              <w:rPr>
                <w:sz w:val="18"/>
              </w:rPr>
              <w:t>118,00</w:t>
            </w:r>
          </w:p>
        </w:tc>
        <w:tc>
          <w:tcPr>
            <w:tcW w:w="1860" w:type="dxa"/>
            <w:tcMar>
              <w:top w:w="0" w:type="dxa"/>
              <w:bottom w:w="0" w:type="dxa"/>
            </w:tcMar>
            <w:vAlign w:val="center"/>
          </w:tcPr>
          <w:p w:rsidR="007210AD" w:rsidRDefault="008F3E59">
            <w:pPr>
              <w:keepNext/>
              <w:keepLines/>
              <w:spacing w:after="0" w:line="240" w:lineRule="auto"/>
              <w:jc w:val="right"/>
            </w:pPr>
            <w:r>
              <w:rPr>
                <w:sz w:val="18"/>
              </w:rPr>
              <w:t>168.998,96</w:t>
            </w:r>
          </w:p>
        </w:tc>
        <w:tc>
          <w:tcPr>
            <w:tcW w:w="700" w:type="dxa"/>
            <w:tcMar>
              <w:top w:w="0" w:type="dxa"/>
              <w:bottom w:w="0" w:type="dxa"/>
            </w:tcMar>
            <w:vAlign w:val="center"/>
          </w:tcPr>
          <w:p w:rsidR="007210AD" w:rsidRDefault="008F3E59">
            <w:pPr>
              <w:keepNext/>
              <w:keepLines/>
              <w:spacing w:after="0" w:line="240" w:lineRule="auto"/>
              <w:jc w:val="right"/>
            </w:pPr>
            <w:r>
              <w:rPr>
                <w:sz w:val="18"/>
              </w:rPr>
              <w:t>&gt;&gt;100</w:t>
            </w:r>
          </w:p>
        </w:tc>
      </w:tr>
    </w:tbl>
    <w:p w:rsidR="007210AD" w:rsidRDefault="007210AD">
      <w:pPr>
        <w:spacing w:after="0"/>
      </w:pPr>
    </w:p>
    <w:p w:rsidR="007210AD" w:rsidRDefault="008F3E59">
      <w:r>
        <w:t xml:space="preserve">Obračunati prihodi poslovanja ostvareni su u iznosu od 168.998,96 eura.  Razlog je što se od 01.01.2025. godine knjiži potraživanje za prihode poslovanja i obračunati prihodi poslovanja </w:t>
      </w:r>
      <w:r>
        <w:lastRenderedPageBreak/>
        <w:t>osim za nadležni proračun. Obračunati prihodi poslovanja odnose se na trošak plaće za prosinac 2025. godine i zatvorit će se u siječnju 2026. godine kada Ministarstvo znanosti, obrazovanja i mladih isplati plaću za prosinac 2025. godine.</w:t>
      </w:r>
    </w:p>
    <w:p w:rsidR="007210AD" w:rsidRDefault="007210AD"/>
    <w:p w:rsidR="007210AD" w:rsidRDefault="008F3E59">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991</w:t>
            </w:r>
          </w:p>
        </w:tc>
        <w:tc>
          <w:tcPr>
            <w:tcW w:w="3180" w:type="dxa"/>
            <w:tcMar>
              <w:top w:w="0" w:type="dxa"/>
              <w:bottom w:w="0" w:type="dxa"/>
            </w:tcMar>
            <w:vAlign w:val="center"/>
          </w:tcPr>
          <w:p w:rsidR="007210AD" w:rsidRDefault="008F3E59">
            <w:pPr>
              <w:keepNext/>
              <w:keepLines/>
              <w:spacing w:after="0" w:line="240" w:lineRule="auto"/>
            </w:pPr>
            <w:r>
              <w:rPr>
                <w:sz w:val="18"/>
              </w:rPr>
              <w:t>Izvanbilančni zapisi - aktiva (šifra 996)</w:t>
            </w:r>
          </w:p>
        </w:tc>
        <w:tc>
          <w:tcPr>
            <w:tcW w:w="700" w:type="dxa"/>
            <w:tcMar>
              <w:top w:w="0" w:type="dxa"/>
              <w:bottom w:w="0" w:type="dxa"/>
            </w:tcMar>
            <w:vAlign w:val="center"/>
          </w:tcPr>
          <w:p w:rsidR="007210AD" w:rsidRDefault="008F3E59">
            <w:pPr>
              <w:keepNext/>
              <w:keepLines/>
              <w:spacing w:after="0" w:line="240" w:lineRule="auto"/>
            </w:pPr>
            <w:r>
              <w:rPr>
                <w:sz w:val="18"/>
              </w:rPr>
              <w:t>991</w:t>
            </w:r>
          </w:p>
        </w:tc>
        <w:tc>
          <w:tcPr>
            <w:tcW w:w="1860" w:type="dxa"/>
            <w:tcMar>
              <w:top w:w="0" w:type="dxa"/>
              <w:bottom w:w="0" w:type="dxa"/>
            </w:tcMar>
            <w:vAlign w:val="center"/>
          </w:tcPr>
          <w:p w:rsidR="007210AD" w:rsidRDefault="008F3E59">
            <w:pPr>
              <w:keepNext/>
              <w:keepLines/>
              <w:spacing w:after="0" w:line="240" w:lineRule="auto"/>
              <w:jc w:val="right"/>
            </w:pPr>
            <w:r>
              <w:rPr>
                <w:sz w:val="18"/>
              </w:rPr>
              <w:t>739.752,62</w:t>
            </w:r>
          </w:p>
        </w:tc>
        <w:tc>
          <w:tcPr>
            <w:tcW w:w="1860" w:type="dxa"/>
            <w:tcMar>
              <w:top w:w="0" w:type="dxa"/>
              <w:bottom w:w="0" w:type="dxa"/>
            </w:tcMar>
            <w:vAlign w:val="center"/>
          </w:tcPr>
          <w:p w:rsidR="007210AD" w:rsidRDefault="008F3E59">
            <w:pPr>
              <w:keepNext/>
              <w:keepLines/>
              <w:spacing w:after="0" w:line="240" w:lineRule="auto"/>
              <w:jc w:val="right"/>
            </w:pPr>
            <w:r>
              <w:rPr>
                <w:sz w:val="18"/>
              </w:rPr>
              <w:t>607.029,81</w:t>
            </w:r>
          </w:p>
        </w:tc>
        <w:tc>
          <w:tcPr>
            <w:tcW w:w="700" w:type="dxa"/>
            <w:tcMar>
              <w:top w:w="0" w:type="dxa"/>
              <w:bottom w:w="0" w:type="dxa"/>
            </w:tcMar>
            <w:vAlign w:val="center"/>
          </w:tcPr>
          <w:p w:rsidR="007210AD" w:rsidRDefault="008F3E59">
            <w:pPr>
              <w:keepNext/>
              <w:keepLines/>
              <w:spacing w:after="0" w:line="240" w:lineRule="auto"/>
              <w:jc w:val="right"/>
            </w:pPr>
            <w:r>
              <w:rPr>
                <w:sz w:val="18"/>
              </w:rPr>
              <w:t>82,1</w:t>
            </w:r>
          </w:p>
        </w:tc>
      </w:tr>
    </w:tbl>
    <w:p w:rsidR="007210AD" w:rsidRDefault="007210AD">
      <w:pPr>
        <w:spacing w:after="0"/>
      </w:pPr>
    </w:p>
    <w:p w:rsidR="007210AD" w:rsidRDefault="008F3E59">
      <w:r>
        <w:t>Izvanbilančni zapisi - aktiva (šifra 996) odnose se na rashode energetske obnove školskih zgrada u Semeljcima, Kešincima i Koritni.</w:t>
      </w:r>
    </w:p>
    <w:p w:rsidR="007210AD" w:rsidRDefault="007210AD"/>
    <w:p w:rsidR="007210AD" w:rsidRDefault="008F3E59">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996</w:t>
            </w:r>
          </w:p>
        </w:tc>
        <w:tc>
          <w:tcPr>
            <w:tcW w:w="3180" w:type="dxa"/>
            <w:tcMar>
              <w:top w:w="0" w:type="dxa"/>
              <w:bottom w:w="0" w:type="dxa"/>
            </w:tcMar>
            <w:vAlign w:val="center"/>
          </w:tcPr>
          <w:p w:rsidR="007210AD" w:rsidRDefault="008F3E59">
            <w:pPr>
              <w:keepNext/>
              <w:keepLines/>
              <w:spacing w:after="0" w:line="240" w:lineRule="auto"/>
            </w:pPr>
            <w:r>
              <w:rPr>
                <w:sz w:val="18"/>
              </w:rPr>
              <w:t>Izvanbilančni zapisi - pasiva</w:t>
            </w:r>
          </w:p>
        </w:tc>
        <w:tc>
          <w:tcPr>
            <w:tcW w:w="700" w:type="dxa"/>
            <w:tcMar>
              <w:top w:w="0" w:type="dxa"/>
              <w:bottom w:w="0" w:type="dxa"/>
            </w:tcMar>
            <w:vAlign w:val="center"/>
          </w:tcPr>
          <w:p w:rsidR="007210AD" w:rsidRDefault="008F3E59">
            <w:pPr>
              <w:keepNext/>
              <w:keepLines/>
              <w:spacing w:after="0" w:line="240" w:lineRule="auto"/>
            </w:pPr>
            <w:r>
              <w:rPr>
                <w:sz w:val="18"/>
              </w:rPr>
              <w:t>996</w:t>
            </w:r>
          </w:p>
        </w:tc>
        <w:tc>
          <w:tcPr>
            <w:tcW w:w="1860" w:type="dxa"/>
            <w:tcMar>
              <w:top w:w="0" w:type="dxa"/>
              <w:bottom w:w="0" w:type="dxa"/>
            </w:tcMar>
            <w:vAlign w:val="center"/>
          </w:tcPr>
          <w:p w:rsidR="007210AD" w:rsidRDefault="008F3E59">
            <w:pPr>
              <w:keepNext/>
              <w:keepLines/>
              <w:spacing w:after="0" w:line="240" w:lineRule="auto"/>
              <w:jc w:val="right"/>
            </w:pPr>
            <w:r>
              <w:rPr>
                <w:sz w:val="18"/>
              </w:rPr>
              <w:t>739.752,62</w:t>
            </w:r>
          </w:p>
        </w:tc>
        <w:tc>
          <w:tcPr>
            <w:tcW w:w="1860" w:type="dxa"/>
            <w:tcMar>
              <w:top w:w="0" w:type="dxa"/>
              <w:bottom w:w="0" w:type="dxa"/>
            </w:tcMar>
            <w:vAlign w:val="center"/>
          </w:tcPr>
          <w:p w:rsidR="007210AD" w:rsidRDefault="008F3E59">
            <w:pPr>
              <w:keepNext/>
              <w:keepLines/>
              <w:spacing w:after="0" w:line="240" w:lineRule="auto"/>
              <w:jc w:val="right"/>
            </w:pPr>
            <w:r>
              <w:rPr>
                <w:sz w:val="18"/>
              </w:rPr>
              <w:t>607.029,81</w:t>
            </w:r>
          </w:p>
        </w:tc>
        <w:tc>
          <w:tcPr>
            <w:tcW w:w="700" w:type="dxa"/>
            <w:tcMar>
              <w:top w:w="0" w:type="dxa"/>
              <w:bottom w:w="0" w:type="dxa"/>
            </w:tcMar>
            <w:vAlign w:val="center"/>
          </w:tcPr>
          <w:p w:rsidR="007210AD" w:rsidRDefault="008F3E59">
            <w:pPr>
              <w:keepNext/>
              <w:keepLines/>
              <w:spacing w:after="0" w:line="240" w:lineRule="auto"/>
              <w:jc w:val="right"/>
            </w:pPr>
            <w:r>
              <w:rPr>
                <w:sz w:val="18"/>
              </w:rPr>
              <w:t>82,1</w:t>
            </w:r>
          </w:p>
        </w:tc>
      </w:tr>
    </w:tbl>
    <w:p w:rsidR="007210AD" w:rsidRDefault="007210AD">
      <w:pPr>
        <w:spacing w:after="0"/>
      </w:pPr>
    </w:p>
    <w:p w:rsidR="007210AD" w:rsidRDefault="008F3E59">
      <w:r>
        <w:t>Izvanbilančni zapisi - aktiva (šifra 996) odnose se na rashode energetske obnove školskih zgrada u Semeljcima, Kešincima i Koritni.</w:t>
      </w:r>
    </w:p>
    <w:p w:rsidR="007210AD" w:rsidRDefault="007210AD"/>
    <w:p w:rsidR="007210AD" w:rsidRDefault="008F3E59">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dio 16</w:t>
            </w:r>
          </w:p>
        </w:tc>
        <w:tc>
          <w:tcPr>
            <w:tcW w:w="3180" w:type="dxa"/>
            <w:tcMar>
              <w:top w:w="0" w:type="dxa"/>
              <w:bottom w:w="0" w:type="dxa"/>
            </w:tcMar>
            <w:vAlign w:val="center"/>
          </w:tcPr>
          <w:p w:rsidR="007210AD" w:rsidRDefault="008F3E59">
            <w:pPr>
              <w:keepNext/>
              <w:keepLines/>
              <w:spacing w:after="0" w:line="240" w:lineRule="auto"/>
            </w:pPr>
            <w:r>
              <w:rPr>
                <w:sz w:val="18"/>
              </w:rPr>
              <w:t>Potraživanja za prihode poslovanja - nedospjela</w:t>
            </w:r>
          </w:p>
        </w:tc>
        <w:tc>
          <w:tcPr>
            <w:tcW w:w="700" w:type="dxa"/>
            <w:tcMar>
              <w:top w:w="0" w:type="dxa"/>
              <w:bottom w:w="0" w:type="dxa"/>
            </w:tcMar>
            <w:vAlign w:val="center"/>
          </w:tcPr>
          <w:p w:rsidR="007210AD" w:rsidRDefault="008F3E59">
            <w:pPr>
              <w:keepNext/>
              <w:keepLines/>
              <w:spacing w:after="0" w:line="240" w:lineRule="auto"/>
            </w:pPr>
            <w:r>
              <w:rPr>
                <w:sz w:val="18"/>
              </w:rPr>
              <w:t>dio 16 N</w:t>
            </w:r>
          </w:p>
        </w:tc>
        <w:tc>
          <w:tcPr>
            <w:tcW w:w="1860" w:type="dxa"/>
            <w:tcMar>
              <w:top w:w="0" w:type="dxa"/>
              <w:bottom w:w="0" w:type="dxa"/>
            </w:tcMar>
            <w:vAlign w:val="center"/>
          </w:tcPr>
          <w:p w:rsidR="007210AD" w:rsidRDefault="008F3E59">
            <w:pPr>
              <w:keepNext/>
              <w:keepLines/>
              <w:spacing w:after="0" w:line="240" w:lineRule="auto"/>
              <w:jc w:val="right"/>
            </w:pPr>
            <w:r>
              <w:rPr>
                <w:sz w:val="18"/>
              </w:rPr>
              <w:t>19.582,07</w:t>
            </w:r>
          </w:p>
        </w:tc>
        <w:tc>
          <w:tcPr>
            <w:tcW w:w="1860" w:type="dxa"/>
            <w:tcMar>
              <w:top w:w="0" w:type="dxa"/>
              <w:bottom w:w="0" w:type="dxa"/>
            </w:tcMar>
            <w:vAlign w:val="center"/>
          </w:tcPr>
          <w:p w:rsidR="007210AD" w:rsidRDefault="008F3E59">
            <w:pPr>
              <w:keepNext/>
              <w:keepLines/>
              <w:spacing w:after="0" w:line="240" w:lineRule="auto"/>
              <w:jc w:val="right"/>
            </w:pPr>
            <w:r>
              <w:rPr>
                <w:sz w:val="18"/>
              </w:rPr>
              <w:t>186.130,30</w:t>
            </w:r>
          </w:p>
        </w:tc>
        <w:tc>
          <w:tcPr>
            <w:tcW w:w="700" w:type="dxa"/>
            <w:tcMar>
              <w:top w:w="0" w:type="dxa"/>
              <w:bottom w:w="0" w:type="dxa"/>
            </w:tcMar>
            <w:vAlign w:val="center"/>
          </w:tcPr>
          <w:p w:rsidR="007210AD" w:rsidRDefault="008F3E59">
            <w:pPr>
              <w:keepNext/>
              <w:keepLines/>
              <w:spacing w:after="0" w:line="240" w:lineRule="auto"/>
              <w:jc w:val="right"/>
            </w:pPr>
            <w:r>
              <w:rPr>
                <w:sz w:val="18"/>
              </w:rPr>
              <w:t>950,5</w:t>
            </w:r>
          </w:p>
        </w:tc>
      </w:tr>
    </w:tbl>
    <w:p w:rsidR="007210AD" w:rsidRDefault="007210AD">
      <w:pPr>
        <w:spacing w:after="0"/>
      </w:pPr>
    </w:p>
    <w:p w:rsidR="007210AD" w:rsidRDefault="008F3E59">
      <w:r>
        <w:t>Navedeno potraživanje odnosi se na trošak plaće za prosinac 2025. godine i zatvorit će se u siječnju 2026. godine kada Ministarstvo znanosti, obrazovanja i mladih isplati plaću za prosinac 2025. godine i na potraživanje za drugi dio isplate sredstava za psihodijagnostička sredstva te na sredstva kojima škola raspolaže na podračunu Riznice Osječko-baranjske županije.</w:t>
      </w:r>
    </w:p>
    <w:p w:rsidR="007210AD" w:rsidRDefault="007210AD"/>
    <w:p w:rsidR="007210AD" w:rsidRDefault="008F3E59">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12911</w:t>
            </w:r>
          </w:p>
        </w:tc>
        <w:tc>
          <w:tcPr>
            <w:tcW w:w="3180" w:type="dxa"/>
            <w:tcMar>
              <w:top w:w="0" w:type="dxa"/>
              <w:bottom w:w="0" w:type="dxa"/>
            </w:tcMar>
            <w:vAlign w:val="center"/>
          </w:tcPr>
          <w:p w:rsidR="007210AD" w:rsidRDefault="008F3E59">
            <w:pPr>
              <w:keepNext/>
              <w:keepLines/>
              <w:spacing w:after="0" w:line="240" w:lineRule="auto"/>
            </w:pPr>
            <w:r>
              <w:rPr>
                <w:sz w:val="18"/>
              </w:rPr>
              <w:t>Potraživanja za naknade koje se refundiraju</w:t>
            </w:r>
          </w:p>
        </w:tc>
        <w:tc>
          <w:tcPr>
            <w:tcW w:w="700" w:type="dxa"/>
            <w:tcMar>
              <w:top w:w="0" w:type="dxa"/>
              <w:bottom w:w="0" w:type="dxa"/>
            </w:tcMar>
            <w:vAlign w:val="center"/>
          </w:tcPr>
          <w:p w:rsidR="007210AD" w:rsidRDefault="008F3E59">
            <w:pPr>
              <w:keepNext/>
              <w:keepLines/>
              <w:spacing w:after="0" w:line="240" w:lineRule="auto"/>
            </w:pPr>
            <w:r>
              <w:rPr>
                <w:sz w:val="18"/>
              </w:rPr>
              <w:t>12911</w:t>
            </w:r>
          </w:p>
        </w:tc>
        <w:tc>
          <w:tcPr>
            <w:tcW w:w="1860" w:type="dxa"/>
            <w:tcMar>
              <w:top w:w="0" w:type="dxa"/>
              <w:bottom w:w="0" w:type="dxa"/>
            </w:tcMar>
            <w:vAlign w:val="center"/>
          </w:tcPr>
          <w:p w:rsidR="007210AD" w:rsidRDefault="008F3E59">
            <w:pPr>
              <w:keepNext/>
              <w:keepLines/>
              <w:spacing w:after="0" w:line="240" w:lineRule="auto"/>
              <w:jc w:val="right"/>
            </w:pPr>
            <w:r>
              <w:rPr>
                <w:sz w:val="18"/>
              </w:rPr>
              <w:t>141,21</w:t>
            </w:r>
          </w:p>
        </w:tc>
        <w:tc>
          <w:tcPr>
            <w:tcW w:w="1860" w:type="dxa"/>
            <w:tcMar>
              <w:top w:w="0" w:type="dxa"/>
              <w:bottom w:w="0" w:type="dxa"/>
            </w:tcMar>
            <w:vAlign w:val="center"/>
          </w:tcPr>
          <w:p w:rsidR="007210AD" w:rsidRDefault="008F3E59">
            <w:pPr>
              <w:keepNext/>
              <w:keepLines/>
              <w:spacing w:after="0" w:line="240" w:lineRule="auto"/>
              <w:jc w:val="right"/>
            </w:pPr>
            <w:r>
              <w:rPr>
                <w:sz w:val="18"/>
              </w:rPr>
              <w:t>6.211,66</w:t>
            </w:r>
          </w:p>
        </w:tc>
        <w:tc>
          <w:tcPr>
            <w:tcW w:w="700" w:type="dxa"/>
            <w:tcMar>
              <w:top w:w="0" w:type="dxa"/>
              <w:bottom w:w="0" w:type="dxa"/>
            </w:tcMar>
            <w:vAlign w:val="center"/>
          </w:tcPr>
          <w:p w:rsidR="007210AD" w:rsidRDefault="008F3E59">
            <w:pPr>
              <w:keepNext/>
              <w:keepLines/>
              <w:spacing w:after="0" w:line="240" w:lineRule="auto"/>
              <w:jc w:val="right"/>
            </w:pPr>
            <w:r>
              <w:rPr>
                <w:sz w:val="18"/>
              </w:rPr>
              <w:t>4398,9</w:t>
            </w:r>
          </w:p>
        </w:tc>
      </w:tr>
    </w:tbl>
    <w:p w:rsidR="007210AD" w:rsidRDefault="007210AD">
      <w:pPr>
        <w:spacing w:after="0"/>
      </w:pPr>
    </w:p>
    <w:p w:rsidR="007210AD" w:rsidRDefault="008F3E59">
      <w:r>
        <w:t>Potraživanja za naknade koje se refundiraju odnose se na naknade za bolovanje na teret HZZO-a.</w:t>
      </w:r>
    </w:p>
    <w:p w:rsidR="007210AD" w:rsidRDefault="007210AD"/>
    <w:p w:rsidR="007210AD" w:rsidRDefault="008F3E59">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99641</w:t>
            </w:r>
          </w:p>
        </w:tc>
        <w:tc>
          <w:tcPr>
            <w:tcW w:w="3180" w:type="dxa"/>
            <w:tcMar>
              <w:top w:w="0" w:type="dxa"/>
              <w:bottom w:w="0" w:type="dxa"/>
            </w:tcMar>
            <w:vAlign w:val="center"/>
          </w:tcPr>
          <w:p w:rsidR="007210AD" w:rsidRDefault="008F3E59">
            <w:pPr>
              <w:keepNext/>
              <w:keepLines/>
              <w:spacing w:after="0" w:line="240" w:lineRule="auto"/>
            </w:pPr>
            <w:r>
              <w:rPr>
                <w:sz w:val="18"/>
              </w:rPr>
              <w:t>Instrumenti osiguranja plaćanja</w:t>
            </w:r>
          </w:p>
        </w:tc>
        <w:tc>
          <w:tcPr>
            <w:tcW w:w="700" w:type="dxa"/>
            <w:tcMar>
              <w:top w:w="0" w:type="dxa"/>
              <w:bottom w:w="0" w:type="dxa"/>
            </w:tcMar>
            <w:vAlign w:val="center"/>
          </w:tcPr>
          <w:p w:rsidR="007210AD" w:rsidRDefault="008F3E59">
            <w:pPr>
              <w:keepNext/>
              <w:keepLines/>
              <w:spacing w:after="0" w:line="240" w:lineRule="auto"/>
            </w:pPr>
            <w:r>
              <w:rPr>
                <w:sz w:val="18"/>
              </w:rPr>
              <w:t>99641</w:t>
            </w:r>
          </w:p>
        </w:tc>
        <w:tc>
          <w:tcPr>
            <w:tcW w:w="1860" w:type="dxa"/>
            <w:tcMar>
              <w:top w:w="0" w:type="dxa"/>
              <w:bottom w:w="0" w:type="dxa"/>
            </w:tcMar>
            <w:vAlign w:val="center"/>
          </w:tcPr>
          <w:p w:rsidR="007210AD" w:rsidRDefault="008F3E59">
            <w:pPr>
              <w:keepNext/>
              <w:keepLines/>
              <w:spacing w:after="0" w:line="240" w:lineRule="auto"/>
              <w:jc w:val="right"/>
            </w:pPr>
            <w:r>
              <w:rPr>
                <w:sz w:val="18"/>
              </w:rPr>
              <w:t>132.722,81</w:t>
            </w:r>
          </w:p>
        </w:tc>
        <w:tc>
          <w:tcPr>
            <w:tcW w:w="1860" w:type="dxa"/>
            <w:tcMar>
              <w:top w:w="0" w:type="dxa"/>
              <w:bottom w:w="0" w:type="dxa"/>
            </w:tcMar>
            <w:vAlign w:val="center"/>
          </w:tcPr>
          <w:p w:rsidR="007210AD" w:rsidRDefault="008F3E59">
            <w:pPr>
              <w:keepNext/>
              <w:keepLines/>
              <w:spacing w:after="0" w:line="240" w:lineRule="auto"/>
              <w:jc w:val="right"/>
            </w:pPr>
            <w:r>
              <w:rPr>
                <w:sz w:val="18"/>
              </w:rPr>
              <w:t>0,00</w:t>
            </w:r>
          </w:p>
        </w:tc>
        <w:tc>
          <w:tcPr>
            <w:tcW w:w="700" w:type="dxa"/>
            <w:tcMar>
              <w:top w:w="0" w:type="dxa"/>
              <w:bottom w:w="0" w:type="dxa"/>
            </w:tcMar>
            <w:vAlign w:val="center"/>
          </w:tcPr>
          <w:p w:rsidR="007210AD" w:rsidRDefault="008F3E59">
            <w:pPr>
              <w:keepNext/>
              <w:keepLines/>
              <w:spacing w:after="0" w:line="240" w:lineRule="auto"/>
              <w:jc w:val="right"/>
            </w:pPr>
            <w:r>
              <w:rPr>
                <w:sz w:val="18"/>
              </w:rPr>
              <w:t>0</w:t>
            </w:r>
          </w:p>
        </w:tc>
      </w:tr>
    </w:tbl>
    <w:p w:rsidR="007210AD" w:rsidRDefault="007210AD">
      <w:pPr>
        <w:spacing w:after="0"/>
      </w:pPr>
    </w:p>
    <w:p w:rsidR="007210AD" w:rsidRDefault="008F3E59">
      <w:r>
        <w:t>Na početku izvještajnog razdoblja instrumenti osiguranja plaćanja odnosili su se na bjanko zadužnicu od 132.722,81 eura danu Ministarstvu regionalnog razvoja i fondova Europske unije za provedbu projekta „STEM-moje obrazovanje“, a na njihov zahtjev. U tijeku izvještajnog razdoblja bjanko zadužnica nam je vraćena.</w:t>
      </w:r>
    </w:p>
    <w:p w:rsidR="007210AD" w:rsidRDefault="007210AD"/>
    <w:p w:rsidR="007210AD" w:rsidRDefault="008F3E59">
      <w:pPr>
        <w:keepNext/>
        <w:spacing w:line="240" w:lineRule="auto"/>
        <w:jc w:val="center"/>
      </w:pPr>
      <w:r>
        <w:rPr>
          <w:b/>
          <w:sz w:val="28"/>
        </w:rPr>
        <w:t>Izvještaj o rashodima prema funkcijskoj klasifikaciji</w:t>
      </w:r>
    </w:p>
    <w:p w:rsidR="007210AD" w:rsidRDefault="008F3E59">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0912</w:t>
            </w:r>
          </w:p>
        </w:tc>
        <w:tc>
          <w:tcPr>
            <w:tcW w:w="3180" w:type="dxa"/>
            <w:tcMar>
              <w:top w:w="0" w:type="dxa"/>
              <w:bottom w:w="0" w:type="dxa"/>
            </w:tcMar>
            <w:vAlign w:val="center"/>
          </w:tcPr>
          <w:p w:rsidR="007210AD" w:rsidRDefault="008F3E59">
            <w:pPr>
              <w:keepNext/>
              <w:keepLines/>
              <w:spacing w:after="0" w:line="240" w:lineRule="auto"/>
            </w:pPr>
            <w:r>
              <w:rPr>
                <w:sz w:val="18"/>
              </w:rPr>
              <w:t>Osnovno obrazovanje</w:t>
            </w:r>
          </w:p>
        </w:tc>
        <w:tc>
          <w:tcPr>
            <w:tcW w:w="700" w:type="dxa"/>
            <w:tcMar>
              <w:top w:w="0" w:type="dxa"/>
              <w:bottom w:w="0" w:type="dxa"/>
            </w:tcMar>
            <w:vAlign w:val="center"/>
          </w:tcPr>
          <w:p w:rsidR="007210AD" w:rsidRDefault="008F3E59">
            <w:pPr>
              <w:keepNext/>
              <w:keepLines/>
              <w:spacing w:after="0" w:line="240" w:lineRule="auto"/>
            </w:pPr>
            <w:r>
              <w:rPr>
                <w:sz w:val="18"/>
              </w:rPr>
              <w:t>0912</w:t>
            </w:r>
          </w:p>
        </w:tc>
        <w:tc>
          <w:tcPr>
            <w:tcW w:w="1860" w:type="dxa"/>
            <w:tcMar>
              <w:top w:w="0" w:type="dxa"/>
              <w:bottom w:w="0" w:type="dxa"/>
            </w:tcMar>
            <w:vAlign w:val="center"/>
          </w:tcPr>
          <w:p w:rsidR="007210AD" w:rsidRDefault="008F3E59">
            <w:pPr>
              <w:keepNext/>
              <w:keepLines/>
              <w:spacing w:after="0" w:line="240" w:lineRule="auto"/>
              <w:jc w:val="right"/>
            </w:pPr>
            <w:r>
              <w:rPr>
                <w:sz w:val="18"/>
              </w:rPr>
              <w:t>1.956.348,51</w:t>
            </w:r>
          </w:p>
        </w:tc>
        <w:tc>
          <w:tcPr>
            <w:tcW w:w="1860" w:type="dxa"/>
            <w:tcMar>
              <w:top w:w="0" w:type="dxa"/>
              <w:bottom w:w="0" w:type="dxa"/>
            </w:tcMar>
            <w:vAlign w:val="center"/>
          </w:tcPr>
          <w:p w:rsidR="007210AD" w:rsidRDefault="008F3E59">
            <w:pPr>
              <w:keepNext/>
              <w:keepLines/>
              <w:spacing w:after="0" w:line="240" w:lineRule="auto"/>
              <w:jc w:val="right"/>
            </w:pPr>
            <w:r>
              <w:rPr>
                <w:sz w:val="18"/>
              </w:rPr>
              <w:t>2.255.379,35</w:t>
            </w:r>
          </w:p>
        </w:tc>
        <w:tc>
          <w:tcPr>
            <w:tcW w:w="700" w:type="dxa"/>
            <w:tcMar>
              <w:top w:w="0" w:type="dxa"/>
              <w:bottom w:w="0" w:type="dxa"/>
            </w:tcMar>
            <w:vAlign w:val="center"/>
          </w:tcPr>
          <w:p w:rsidR="007210AD" w:rsidRDefault="008F3E59">
            <w:pPr>
              <w:keepNext/>
              <w:keepLines/>
              <w:spacing w:after="0" w:line="240" w:lineRule="auto"/>
              <w:jc w:val="right"/>
            </w:pPr>
            <w:r>
              <w:rPr>
                <w:sz w:val="18"/>
              </w:rPr>
              <w:t>115,3</w:t>
            </w:r>
          </w:p>
        </w:tc>
      </w:tr>
    </w:tbl>
    <w:p w:rsidR="007210AD" w:rsidRDefault="007210AD">
      <w:pPr>
        <w:spacing w:after="0"/>
      </w:pPr>
    </w:p>
    <w:p w:rsidR="007210AD" w:rsidRDefault="008F3E59">
      <w:r>
        <w:t>Rashodi za Osnovno obrazovanje odnose se na rashode za zaposlene, materijalne rashode, financijske rashode, naknade građanima i kućanstvima na temelju osiguranja i druge naknade, rashode za donacije i rashode za nabavu proizvedene dugotrajne imovine. Povećani su prvenstveno iz razloga jer su povećani rashodi za zaposlene zbog povećanja osnovice za obračun plaća te zbog povećanja minulog rada djelatnika.</w:t>
      </w:r>
    </w:p>
    <w:p w:rsidR="007210AD" w:rsidRDefault="007210AD"/>
    <w:p w:rsidR="007210AD" w:rsidRDefault="008F3E59">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096</w:t>
            </w:r>
          </w:p>
        </w:tc>
        <w:tc>
          <w:tcPr>
            <w:tcW w:w="3180" w:type="dxa"/>
            <w:tcMar>
              <w:top w:w="0" w:type="dxa"/>
              <w:bottom w:w="0" w:type="dxa"/>
            </w:tcMar>
            <w:vAlign w:val="center"/>
          </w:tcPr>
          <w:p w:rsidR="007210AD" w:rsidRDefault="008F3E59">
            <w:pPr>
              <w:keepNext/>
              <w:keepLines/>
              <w:spacing w:after="0" w:line="240" w:lineRule="auto"/>
            </w:pPr>
            <w:r>
              <w:rPr>
                <w:sz w:val="18"/>
              </w:rPr>
              <w:t>Dodatne usluge u obrazovanju</w:t>
            </w:r>
          </w:p>
        </w:tc>
        <w:tc>
          <w:tcPr>
            <w:tcW w:w="700" w:type="dxa"/>
            <w:tcMar>
              <w:top w:w="0" w:type="dxa"/>
              <w:bottom w:w="0" w:type="dxa"/>
            </w:tcMar>
            <w:vAlign w:val="center"/>
          </w:tcPr>
          <w:p w:rsidR="007210AD" w:rsidRDefault="008F3E59">
            <w:pPr>
              <w:keepNext/>
              <w:keepLines/>
              <w:spacing w:after="0" w:line="240" w:lineRule="auto"/>
            </w:pPr>
            <w:r>
              <w:rPr>
                <w:sz w:val="18"/>
              </w:rPr>
              <w:t>096</w:t>
            </w:r>
          </w:p>
        </w:tc>
        <w:tc>
          <w:tcPr>
            <w:tcW w:w="1860" w:type="dxa"/>
            <w:tcMar>
              <w:top w:w="0" w:type="dxa"/>
              <w:bottom w:w="0" w:type="dxa"/>
            </w:tcMar>
            <w:vAlign w:val="center"/>
          </w:tcPr>
          <w:p w:rsidR="007210AD" w:rsidRDefault="008F3E59">
            <w:pPr>
              <w:keepNext/>
              <w:keepLines/>
              <w:spacing w:after="0" w:line="240" w:lineRule="auto"/>
              <w:jc w:val="right"/>
            </w:pPr>
            <w:r>
              <w:rPr>
                <w:sz w:val="18"/>
              </w:rPr>
              <w:t>69.464,64</w:t>
            </w:r>
          </w:p>
        </w:tc>
        <w:tc>
          <w:tcPr>
            <w:tcW w:w="1860" w:type="dxa"/>
            <w:tcMar>
              <w:top w:w="0" w:type="dxa"/>
              <w:bottom w:w="0" w:type="dxa"/>
            </w:tcMar>
            <w:vAlign w:val="center"/>
          </w:tcPr>
          <w:p w:rsidR="007210AD" w:rsidRDefault="008F3E59">
            <w:pPr>
              <w:keepNext/>
              <w:keepLines/>
              <w:spacing w:after="0" w:line="240" w:lineRule="auto"/>
              <w:jc w:val="right"/>
            </w:pPr>
            <w:r>
              <w:rPr>
                <w:sz w:val="18"/>
              </w:rPr>
              <w:t>77.213,18</w:t>
            </w:r>
          </w:p>
        </w:tc>
        <w:tc>
          <w:tcPr>
            <w:tcW w:w="700" w:type="dxa"/>
            <w:tcMar>
              <w:top w:w="0" w:type="dxa"/>
              <w:bottom w:w="0" w:type="dxa"/>
            </w:tcMar>
            <w:vAlign w:val="center"/>
          </w:tcPr>
          <w:p w:rsidR="007210AD" w:rsidRDefault="008F3E59">
            <w:pPr>
              <w:keepNext/>
              <w:keepLines/>
              <w:spacing w:after="0" w:line="240" w:lineRule="auto"/>
              <w:jc w:val="right"/>
            </w:pPr>
            <w:r>
              <w:rPr>
                <w:sz w:val="18"/>
              </w:rPr>
              <w:t>111,2</w:t>
            </w:r>
          </w:p>
        </w:tc>
      </w:tr>
    </w:tbl>
    <w:p w:rsidR="007210AD" w:rsidRDefault="007210AD">
      <w:pPr>
        <w:spacing w:after="0"/>
      </w:pPr>
    </w:p>
    <w:p w:rsidR="007210AD" w:rsidRDefault="008F3E59">
      <w:r>
        <w:lastRenderedPageBreak/>
        <w:t>Dodatne usluge u obrazovanju odnose se na Rashode za prehranu učenika (školska kuhinja) koji se financiraju najvećim dijelom iz proračuna Ministarstva znanosti i obrazovanja, te manjim dijelom od strane Osječko-baranjske županije kroz projekt Školska shema – voće, povrće i mlijeko i na rashode za nabavu menstrualnih higijenskih potrepština. Povećani su zbog povećanja cijena hrane.</w:t>
      </w:r>
    </w:p>
    <w:p w:rsidR="007210AD" w:rsidRDefault="007210AD"/>
    <w:p w:rsidR="007210AD" w:rsidRDefault="008F3E59">
      <w:pPr>
        <w:keepNext/>
        <w:spacing w:line="240" w:lineRule="auto"/>
        <w:jc w:val="center"/>
      </w:pPr>
      <w:r>
        <w:rPr>
          <w:b/>
          <w:sz w:val="28"/>
        </w:rPr>
        <w:t>Promjene u vrijednosti i obujmu imovine i obveza</w:t>
      </w:r>
    </w:p>
    <w:p w:rsidR="007210AD" w:rsidRDefault="008F3E59">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rsidR="007210AD" w:rsidRDefault="008F3E59">
            <w:pPr>
              <w:keepNext/>
              <w:keepLines/>
              <w:spacing w:after="0" w:line="240" w:lineRule="auto"/>
            </w:pPr>
            <w:r>
              <w:rPr>
                <w:sz w:val="18"/>
              </w:rPr>
              <w:t>P001</w:t>
            </w:r>
          </w:p>
        </w:tc>
        <w:tc>
          <w:tcPr>
            <w:tcW w:w="1860" w:type="dxa"/>
            <w:tcMar>
              <w:top w:w="0" w:type="dxa"/>
              <w:bottom w:w="0" w:type="dxa"/>
            </w:tcMar>
            <w:vAlign w:val="center"/>
          </w:tcPr>
          <w:p w:rsidR="007210AD" w:rsidRDefault="008F3E59">
            <w:pPr>
              <w:keepNext/>
              <w:keepLines/>
              <w:spacing w:after="0" w:line="240" w:lineRule="auto"/>
              <w:jc w:val="right"/>
            </w:pPr>
            <w:r>
              <w:rPr>
                <w:sz w:val="18"/>
              </w:rPr>
              <w:t>6.875,00</w:t>
            </w:r>
          </w:p>
        </w:tc>
        <w:tc>
          <w:tcPr>
            <w:tcW w:w="1860" w:type="dxa"/>
            <w:tcMar>
              <w:top w:w="0" w:type="dxa"/>
              <w:bottom w:w="0" w:type="dxa"/>
            </w:tcMar>
            <w:vAlign w:val="center"/>
          </w:tcPr>
          <w:p w:rsidR="007210AD" w:rsidRDefault="008F3E59">
            <w:pPr>
              <w:keepNext/>
              <w:keepLines/>
              <w:spacing w:after="0" w:line="240" w:lineRule="auto"/>
              <w:jc w:val="right"/>
            </w:pPr>
            <w:r>
              <w:rPr>
                <w:sz w:val="18"/>
              </w:rPr>
              <w:t>66.801,12</w:t>
            </w:r>
          </w:p>
        </w:tc>
        <w:tc>
          <w:tcPr>
            <w:tcW w:w="700" w:type="dxa"/>
            <w:tcMar>
              <w:top w:w="0" w:type="dxa"/>
              <w:bottom w:w="0" w:type="dxa"/>
            </w:tcMar>
            <w:vAlign w:val="center"/>
          </w:tcPr>
          <w:p w:rsidR="007210AD" w:rsidRDefault="008F3E59">
            <w:pPr>
              <w:keepNext/>
              <w:keepLines/>
              <w:spacing w:after="0" w:line="240" w:lineRule="auto"/>
              <w:jc w:val="right"/>
            </w:pPr>
            <w:r>
              <w:rPr>
                <w:sz w:val="18"/>
              </w:rPr>
              <w:t>971,7</w:t>
            </w:r>
          </w:p>
        </w:tc>
      </w:tr>
    </w:tbl>
    <w:p w:rsidR="007210AD" w:rsidRDefault="007210AD">
      <w:pPr>
        <w:spacing w:after="0"/>
      </w:pPr>
    </w:p>
    <w:p w:rsidR="007210AD" w:rsidRDefault="008F3E59">
      <w:r>
        <w:t>Iznos povećanja vrijednosti nefinancijske imovine od 6.875,00 eura odnosi se na prijenos vlasništva na nefinancijskoj imovini prema rješenju Osječko-baranjske županije - projektno tehnička dokumentacija za izvođenje priključka na sustav javne odvodnje. </w:t>
      </w:r>
    </w:p>
    <w:p w:rsidR="007210AD" w:rsidRDefault="008F3E59">
      <w:r>
        <w:t>Iznos smanjenja vrijednosti nefinancijske imovine od 66.801,12 eura odnosi se na ispravak vrijednosti dugotrajne imovine.</w:t>
      </w:r>
    </w:p>
    <w:p w:rsidR="007210AD" w:rsidRDefault="007210AD"/>
    <w:p w:rsidR="007210AD" w:rsidRDefault="008F3E59">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8F3E59">
            <w:pPr>
              <w:keepNext/>
              <w:keepLines/>
              <w:spacing w:after="0" w:line="240" w:lineRule="auto"/>
            </w:pPr>
            <w:r>
              <w:rPr>
                <w:sz w:val="18"/>
              </w:rPr>
              <w:t>91512</w:t>
            </w:r>
          </w:p>
        </w:tc>
        <w:tc>
          <w:tcPr>
            <w:tcW w:w="3180" w:type="dxa"/>
            <w:tcMar>
              <w:top w:w="0" w:type="dxa"/>
              <w:bottom w:w="0" w:type="dxa"/>
            </w:tcMar>
            <w:vAlign w:val="center"/>
          </w:tcPr>
          <w:p w:rsidR="007210AD" w:rsidRDefault="008F3E59">
            <w:pPr>
              <w:keepNext/>
              <w:keepLines/>
              <w:spacing w:after="0" w:line="240" w:lineRule="auto"/>
            </w:pPr>
            <w:r>
              <w:rPr>
                <w:sz w:val="18"/>
              </w:rPr>
              <w:t>Promjene u obujmu imovine (šifre P016+P023)</w:t>
            </w:r>
          </w:p>
        </w:tc>
        <w:tc>
          <w:tcPr>
            <w:tcW w:w="700" w:type="dxa"/>
            <w:tcMar>
              <w:top w:w="0" w:type="dxa"/>
              <w:bottom w:w="0" w:type="dxa"/>
            </w:tcMar>
            <w:vAlign w:val="center"/>
          </w:tcPr>
          <w:p w:rsidR="007210AD" w:rsidRDefault="008F3E59">
            <w:pPr>
              <w:keepNext/>
              <w:keepLines/>
              <w:spacing w:after="0" w:line="240" w:lineRule="auto"/>
            </w:pPr>
            <w:r>
              <w:rPr>
                <w:sz w:val="18"/>
              </w:rPr>
              <w:t>91512</w:t>
            </w:r>
          </w:p>
        </w:tc>
        <w:tc>
          <w:tcPr>
            <w:tcW w:w="1860" w:type="dxa"/>
            <w:tcMar>
              <w:top w:w="0" w:type="dxa"/>
              <w:bottom w:w="0" w:type="dxa"/>
            </w:tcMar>
            <w:vAlign w:val="center"/>
          </w:tcPr>
          <w:p w:rsidR="007210AD" w:rsidRDefault="008F3E59">
            <w:pPr>
              <w:keepNext/>
              <w:keepLines/>
              <w:spacing w:after="0" w:line="240" w:lineRule="auto"/>
              <w:jc w:val="right"/>
            </w:pPr>
            <w:r>
              <w:rPr>
                <w:sz w:val="18"/>
              </w:rPr>
              <w:t>200,00</w:t>
            </w:r>
          </w:p>
        </w:tc>
        <w:tc>
          <w:tcPr>
            <w:tcW w:w="1860" w:type="dxa"/>
            <w:tcMar>
              <w:top w:w="0" w:type="dxa"/>
              <w:bottom w:w="0" w:type="dxa"/>
            </w:tcMar>
            <w:vAlign w:val="center"/>
          </w:tcPr>
          <w:p w:rsidR="007210AD" w:rsidRDefault="008F3E59">
            <w:pPr>
              <w:keepNext/>
              <w:keepLines/>
              <w:spacing w:after="0" w:line="240" w:lineRule="auto"/>
              <w:jc w:val="right"/>
            </w:pPr>
            <w:r>
              <w:rPr>
                <w:sz w:val="18"/>
              </w:rPr>
              <w:t>813,24</w:t>
            </w:r>
          </w:p>
        </w:tc>
        <w:tc>
          <w:tcPr>
            <w:tcW w:w="700" w:type="dxa"/>
            <w:tcMar>
              <w:top w:w="0" w:type="dxa"/>
              <w:bottom w:w="0" w:type="dxa"/>
            </w:tcMar>
            <w:vAlign w:val="center"/>
          </w:tcPr>
          <w:p w:rsidR="007210AD" w:rsidRDefault="008F3E59">
            <w:pPr>
              <w:keepNext/>
              <w:keepLines/>
              <w:spacing w:after="0" w:line="240" w:lineRule="auto"/>
              <w:jc w:val="right"/>
            </w:pPr>
            <w:r>
              <w:rPr>
                <w:sz w:val="18"/>
              </w:rPr>
              <w:t>406,6</w:t>
            </w:r>
          </w:p>
        </w:tc>
      </w:tr>
    </w:tbl>
    <w:p w:rsidR="007210AD" w:rsidRDefault="007210AD">
      <w:pPr>
        <w:spacing w:after="0"/>
      </w:pPr>
    </w:p>
    <w:p w:rsidR="007210AD" w:rsidRDefault="008F3E59">
      <w:r>
        <w:t>Povećanje u obujmu imovine u iznosu od 200,00 eura odnosi se na komodu koju je domar škole napravio.</w:t>
      </w:r>
    </w:p>
    <w:p w:rsidR="007210AD" w:rsidRDefault="008F3E59">
      <w:r>
        <w:t>Smanjenje u obujmu imovine u iznosu od 813,24 eura odnosi se na inventurni manjak (provala u školu i krađa prijenosnih računala).</w:t>
      </w:r>
    </w:p>
    <w:p w:rsidR="007210AD" w:rsidRDefault="007210AD"/>
    <w:p w:rsidR="007210AD" w:rsidRDefault="008F3E59">
      <w:pPr>
        <w:keepNext/>
        <w:spacing w:line="240" w:lineRule="auto"/>
        <w:jc w:val="center"/>
      </w:pPr>
      <w:r>
        <w:rPr>
          <w:b/>
          <w:sz w:val="28"/>
        </w:rPr>
        <w:t>Izvještaj o obvezama</w:t>
      </w:r>
    </w:p>
    <w:p w:rsidR="007210AD" w:rsidRDefault="008F3E59">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7210AD" w:rsidRDefault="008F3E59">
            <w:pPr>
              <w:keepNext/>
              <w:keepLines/>
              <w:spacing w:after="0" w:line="240" w:lineRule="auto"/>
            </w:pPr>
            <w:r>
              <w:rPr>
                <w:sz w:val="18"/>
              </w:rPr>
              <w:t>V001</w:t>
            </w:r>
          </w:p>
        </w:tc>
        <w:tc>
          <w:tcPr>
            <w:tcW w:w="1860" w:type="dxa"/>
            <w:tcMar>
              <w:top w:w="0" w:type="dxa"/>
              <w:bottom w:w="0" w:type="dxa"/>
            </w:tcMar>
            <w:vAlign w:val="center"/>
          </w:tcPr>
          <w:p w:rsidR="007210AD" w:rsidRDefault="008F3E59">
            <w:pPr>
              <w:keepNext/>
              <w:keepLines/>
              <w:spacing w:after="0" w:line="240" w:lineRule="auto"/>
              <w:jc w:val="right"/>
            </w:pPr>
            <w:r>
              <w:rPr>
                <w:sz w:val="18"/>
              </w:rPr>
              <w:t>183.053,72</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lastRenderedPageBreak/>
        <w:t>Obveze se sastoje od obveza za plaću za prosinac 2024. godine, obveza za povrat u državni proračun (bolovanje iznad 42 dana na teret HZZO-a) te obveza za režijske i druge materijalne rashode iz 2024. godine.</w:t>
      </w:r>
    </w:p>
    <w:p w:rsidR="007210AD" w:rsidRDefault="007210AD"/>
    <w:p w:rsidR="007210AD" w:rsidRDefault="008F3E59">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7210AD" w:rsidRDefault="008F3E59">
            <w:pPr>
              <w:keepNext/>
              <w:keepLines/>
              <w:spacing w:after="0" w:line="240" w:lineRule="auto"/>
            </w:pPr>
            <w:r>
              <w:rPr>
                <w:sz w:val="18"/>
              </w:rPr>
              <w:t>V006</w:t>
            </w:r>
          </w:p>
        </w:tc>
        <w:tc>
          <w:tcPr>
            <w:tcW w:w="1860" w:type="dxa"/>
            <w:tcMar>
              <w:top w:w="0" w:type="dxa"/>
              <w:bottom w:w="0" w:type="dxa"/>
            </w:tcMar>
            <w:vAlign w:val="center"/>
          </w:tcPr>
          <w:p w:rsidR="007210AD" w:rsidRDefault="008F3E59">
            <w:pPr>
              <w:keepNext/>
              <w:keepLines/>
              <w:spacing w:after="0" w:line="240" w:lineRule="auto"/>
              <w:jc w:val="right"/>
            </w:pPr>
            <w:r>
              <w:rPr>
                <w:sz w:val="18"/>
              </w:rPr>
              <w:t>182.514,49</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t>Stanje obveza na kraju izvještajnog razdoblja iznosi 182.514,49 eura. Ukupne nedospjele obveze iznose 181.804,21 eura, a dospjele obveze iznose 710,28 eura.</w:t>
      </w:r>
    </w:p>
    <w:p w:rsidR="007210AD" w:rsidRDefault="007210AD"/>
    <w:p w:rsidR="007210AD" w:rsidRDefault="008F3E59">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210AD" w:rsidRDefault="008F3E59">
            <w:pPr>
              <w:keepNext/>
              <w:keepLines/>
              <w:spacing w:after="0" w:line="240" w:lineRule="auto"/>
            </w:pPr>
            <w:r>
              <w:rPr>
                <w:sz w:val="18"/>
              </w:rPr>
              <w:t>V007</w:t>
            </w:r>
          </w:p>
        </w:tc>
        <w:tc>
          <w:tcPr>
            <w:tcW w:w="1860" w:type="dxa"/>
            <w:tcMar>
              <w:top w:w="0" w:type="dxa"/>
              <w:bottom w:w="0" w:type="dxa"/>
            </w:tcMar>
            <w:vAlign w:val="center"/>
          </w:tcPr>
          <w:p w:rsidR="007210AD" w:rsidRDefault="008F3E59">
            <w:pPr>
              <w:keepNext/>
              <w:keepLines/>
              <w:spacing w:after="0" w:line="240" w:lineRule="auto"/>
              <w:jc w:val="right"/>
            </w:pPr>
            <w:r>
              <w:rPr>
                <w:sz w:val="18"/>
              </w:rPr>
              <w:t>710,28</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t>Dospjele obveze odnose se na račun tvrtke Bauprom u iznosu od 108,18 za materijal i dijelove za tekuće i investicijsko održavanje i na račun tvrtke K-Perić  u iznosu od 602,10 eura također za materijal i dijelove za tekuće i investicijsko održavanje. Oba računa stigla su 31.12.2025. godine tako da nisu mogli biti plaćeni isti dan.</w:t>
      </w:r>
    </w:p>
    <w:p w:rsidR="007210AD" w:rsidRDefault="007210AD"/>
    <w:p w:rsidR="007210AD" w:rsidRDefault="008F3E59">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7210AD" w:rsidRDefault="008F3E59">
            <w:pPr>
              <w:keepNext/>
              <w:keepLines/>
              <w:spacing w:after="0" w:line="240" w:lineRule="auto"/>
            </w:pPr>
            <w:r>
              <w:rPr>
                <w:sz w:val="18"/>
              </w:rPr>
              <w:t>V009</w:t>
            </w:r>
          </w:p>
        </w:tc>
        <w:tc>
          <w:tcPr>
            <w:tcW w:w="1860" w:type="dxa"/>
            <w:tcMar>
              <w:top w:w="0" w:type="dxa"/>
              <w:bottom w:w="0" w:type="dxa"/>
            </w:tcMar>
            <w:vAlign w:val="center"/>
          </w:tcPr>
          <w:p w:rsidR="007210AD" w:rsidRDefault="008F3E59">
            <w:pPr>
              <w:keepNext/>
              <w:keepLines/>
              <w:spacing w:after="0" w:line="240" w:lineRule="auto"/>
              <w:jc w:val="right"/>
            </w:pPr>
            <w:r>
              <w:rPr>
                <w:sz w:val="18"/>
              </w:rPr>
              <w:t>181.804,21</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t>Stanje nedospjelih obveza na kraju izvještajnog razdoblja iznosi 181.804,21 eura.</w:t>
      </w:r>
    </w:p>
    <w:p w:rsidR="007210AD" w:rsidRDefault="008F3E59">
      <w:r>
        <w:t>Obveze za zaposlene u iznosu od 156.509,66 € odnose se na obveze za plaću za mjesec prosinac 2025. godine i to: za zaposlenike škole koje financira MZOM u iznosu od 155.424,46 €; za pomoćnicu u nastavi iz projekta „Učimo zajedno 8“ u iznosu od 1.085,20 € a dospijevaju do 15.01.2026. godine.</w:t>
      </w:r>
    </w:p>
    <w:p w:rsidR="007210AD" w:rsidRDefault="008F3E59">
      <w:r>
        <w:t>Obveze za materijalne rashode iznose 21.371,60 €. Odnose se na troškove za obavljanje redovnog poslovanja, prijevoz djelatnika na posao i s posla za prosinac 2025. godine, te loko vožnju za prosinac 2025. godine.</w:t>
      </w:r>
    </w:p>
    <w:p w:rsidR="007210AD" w:rsidRDefault="008F3E59">
      <w:r>
        <w:t>Obveze za nabavu proizvedene dugotrajne imovine iznose 1.071,53 € i dospjele su. Odnose se na račun poslovnog subjekta METRO CASH &amp; CARRY D.O.O. za nabavu konvekcijske pećnice za potrebe kuhinje. </w:t>
      </w:r>
    </w:p>
    <w:p w:rsidR="007210AD" w:rsidRDefault="008F3E59">
      <w:r>
        <w:lastRenderedPageBreak/>
        <w:t>Obveze proračunskih korisnika za povrat u proračun iznose 2.851,42 €, a odnose se na obveze za bolovanje na teret HZZO-a.</w:t>
      </w:r>
    </w:p>
    <w:p w:rsidR="007210AD" w:rsidRDefault="007210AD"/>
    <w:p w:rsidR="007210AD" w:rsidRDefault="008F3E59">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10AD">
        <w:trPr>
          <w:cantSplit/>
        </w:trPr>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10AD" w:rsidRDefault="008F3E59">
            <w:pPr>
              <w:keepNext/>
              <w:keepLines/>
              <w:spacing w:after="0" w:line="240" w:lineRule="auto"/>
              <w:jc w:val="center"/>
            </w:pPr>
            <w:r>
              <w:rPr>
                <w:b/>
                <w:sz w:val="18"/>
              </w:rPr>
              <w:t>Indeks (%)</w:t>
            </w:r>
          </w:p>
        </w:tc>
      </w:tr>
      <w:tr w:rsidR="007210AD">
        <w:trPr>
          <w:cantSplit/>
          <w:trHeight w:val="560"/>
        </w:trPr>
        <w:tc>
          <w:tcPr>
            <w:tcW w:w="700" w:type="dxa"/>
            <w:tcMar>
              <w:top w:w="0" w:type="dxa"/>
              <w:bottom w:w="0" w:type="dxa"/>
            </w:tcMar>
            <w:vAlign w:val="center"/>
          </w:tcPr>
          <w:p w:rsidR="007210AD" w:rsidRDefault="007210AD">
            <w:pPr>
              <w:keepNext/>
              <w:keepLines/>
              <w:spacing w:after="0" w:line="240" w:lineRule="auto"/>
            </w:pPr>
          </w:p>
        </w:tc>
        <w:tc>
          <w:tcPr>
            <w:tcW w:w="3180" w:type="dxa"/>
            <w:tcMar>
              <w:top w:w="0" w:type="dxa"/>
              <w:bottom w:w="0" w:type="dxa"/>
            </w:tcMar>
            <w:vAlign w:val="center"/>
          </w:tcPr>
          <w:p w:rsidR="007210AD" w:rsidRDefault="008F3E59">
            <w:pPr>
              <w:keepNext/>
              <w:keepLines/>
              <w:spacing w:after="0" w:line="240" w:lineRule="auto"/>
            </w:pPr>
            <w:r>
              <w:rPr>
                <w:sz w:val="18"/>
              </w:rPr>
              <w:t>Međusobne obveze subjekata općeg proračuna</w:t>
            </w:r>
          </w:p>
        </w:tc>
        <w:tc>
          <w:tcPr>
            <w:tcW w:w="700" w:type="dxa"/>
            <w:tcMar>
              <w:top w:w="0" w:type="dxa"/>
              <w:bottom w:w="0" w:type="dxa"/>
            </w:tcMar>
            <w:vAlign w:val="center"/>
          </w:tcPr>
          <w:p w:rsidR="007210AD" w:rsidRDefault="008F3E59">
            <w:pPr>
              <w:keepNext/>
              <w:keepLines/>
              <w:spacing w:after="0" w:line="240" w:lineRule="auto"/>
            </w:pPr>
            <w:r>
              <w:rPr>
                <w:sz w:val="18"/>
              </w:rPr>
              <w:t>V010</w:t>
            </w:r>
          </w:p>
        </w:tc>
        <w:tc>
          <w:tcPr>
            <w:tcW w:w="1860" w:type="dxa"/>
            <w:tcMar>
              <w:top w:w="0" w:type="dxa"/>
              <w:bottom w:w="0" w:type="dxa"/>
            </w:tcMar>
            <w:vAlign w:val="center"/>
          </w:tcPr>
          <w:p w:rsidR="007210AD" w:rsidRDefault="008F3E59">
            <w:pPr>
              <w:keepNext/>
              <w:keepLines/>
              <w:spacing w:after="0" w:line="240" w:lineRule="auto"/>
              <w:jc w:val="right"/>
            </w:pPr>
            <w:r>
              <w:rPr>
                <w:sz w:val="18"/>
              </w:rPr>
              <w:t>2.851,42</w:t>
            </w:r>
          </w:p>
        </w:tc>
        <w:tc>
          <w:tcPr>
            <w:tcW w:w="700" w:type="dxa"/>
            <w:tcMar>
              <w:top w:w="0" w:type="dxa"/>
              <w:bottom w:w="0" w:type="dxa"/>
            </w:tcMar>
            <w:vAlign w:val="center"/>
          </w:tcPr>
          <w:p w:rsidR="007210AD" w:rsidRDefault="008F3E59">
            <w:pPr>
              <w:keepNext/>
              <w:keepLines/>
              <w:spacing w:after="0" w:line="240" w:lineRule="auto"/>
              <w:jc w:val="right"/>
            </w:pPr>
            <w:r>
              <w:rPr>
                <w:sz w:val="18"/>
              </w:rPr>
              <w:t>-</w:t>
            </w:r>
          </w:p>
        </w:tc>
      </w:tr>
    </w:tbl>
    <w:p w:rsidR="007210AD" w:rsidRDefault="007210AD">
      <w:pPr>
        <w:spacing w:after="0"/>
      </w:pPr>
    </w:p>
    <w:p w:rsidR="007210AD" w:rsidRDefault="008F3E59">
      <w:r>
        <w:t>Međusobne obveze subjekata općeg proračuna iznose 2.851,42 i odnose se na obveze proračunskih korisnika</w:t>
      </w:r>
      <w:r>
        <w:br/>
        <w:t>za povrat u proračun - bolovanje na teret HZZO-a.</w:t>
      </w:r>
    </w:p>
    <w:p w:rsidR="007210AD" w:rsidRDefault="007210AD"/>
    <w:p w:rsidR="007210AD" w:rsidRDefault="008F3E59">
      <w:pPr>
        <w:keepNext/>
        <w:spacing w:line="240" w:lineRule="auto"/>
        <w:jc w:val="center"/>
      </w:pPr>
      <w:r>
        <w:rPr>
          <w:sz w:val="28"/>
        </w:rPr>
        <w:t>Bilješka 79.</w:t>
      </w:r>
    </w:p>
    <w:p w:rsidR="007210AD" w:rsidRDefault="008F3E59">
      <w:pPr>
        <w:spacing w:line="240" w:lineRule="auto"/>
        <w:jc w:val="both"/>
      </w:pPr>
      <w:r>
        <w:rPr>
          <w:b/>
        </w:rPr>
        <w:t>EU izvještaj</w:t>
      </w:r>
    </w:p>
    <w:p w:rsidR="007210AD" w:rsidRDefault="008F3E59">
      <w:r>
        <w:t>U ovom izvještaju iskazani su prihodi i rashodi koji se odnose na financiranje plaće i doprinosa pomoćnika u nastavi kroz projekt Učimo zajedno 8. </w:t>
      </w:r>
    </w:p>
    <w:p w:rsidR="007210AD" w:rsidRDefault="007210AD"/>
    <w:p w:rsidR="007F699A" w:rsidRDefault="007F699A"/>
    <w:p w:rsidR="007F699A" w:rsidRDefault="007F699A"/>
    <w:p w:rsidR="007F699A" w:rsidRPr="008A4306" w:rsidRDefault="007F699A" w:rsidP="007F699A">
      <w:pPr>
        <w:pStyle w:val="Bezproreda"/>
      </w:pPr>
      <w:r w:rsidRPr="008A4306">
        <w:t xml:space="preserve">U Semeljcima, </w:t>
      </w:r>
      <w:r>
        <w:t>30</w:t>
      </w:r>
      <w:r w:rsidRPr="008A4306">
        <w:t>.01.202</w:t>
      </w:r>
      <w:r>
        <w:t>6</w:t>
      </w:r>
      <w:r w:rsidRPr="008A4306">
        <w:t>. godine</w:t>
      </w:r>
    </w:p>
    <w:p w:rsidR="007F699A" w:rsidRDefault="007F699A" w:rsidP="007F699A">
      <w:pPr>
        <w:pStyle w:val="Bezproreda"/>
      </w:pPr>
      <w:r>
        <w:t>Osoba za kontakt: Tihomir Paradžiković</w:t>
      </w:r>
    </w:p>
    <w:p w:rsidR="007F699A" w:rsidRDefault="007F699A" w:rsidP="007F699A">
      <w:pPr>
        <w:pStyle w:val="Bezproreda"/>
      </w:pPr>
      <w:r>
        <w:t>Telefon za kontakt: 031/856-081</w:t>
      </w:r>
    </w:p>
    <w:p w:rsidR="007F699A" w:rsidRDefault="007F699A" w:rsidP="007F699A">
      <w:pPr>
        <w:pStyle w:val="Bezproreda"/>
      </w:pPr>
    </w:p>
    <w:p w:rsidR="007F699A" w:rsidRDefault="007F699A" w:rsidP="007F699A">
      <w:pPr>
        <w:ind w:left="4248" w:firstLine="708"/>
      </w:pPr>
    </w:p>
    <w:p w:rsidR="007F699A" w:rsidRDefault="007F699A" w:rsidP="007F699A">
      <w:pPr>
        <w:pStyle w:val="Bezproreda"/>
        <w:ind w:left="4320" w:firstLine="720"/>
      </w:pPr>
      <w:r>
        <w:t>Voditelj računovodstva:</w:t>
      </w:r>
    </w:p>
    <w:p w:rsidR="007F699A" w:rsidRDefault="007F699A" w:rsidP="007F699A">
      <w:pPr>
        <w:pStyle w:val="Bezproreda"/>
        <w:rPr>
          <w:sz w:val="16"/>
          <w:szCs w:val="16"/>
        </w:rPr>
      </w:pPr>
    </w:p>
    <w:p w:rsidR="007F699A" w:rsidRDefault="007F699A" w:rsidP="007F699A">
      <w:pPr>
        <w:pStyle w:val="Bezproreda"/>
      </w:pPr>
      <w:r>
        <w:tab/>
      </w:r>
      <w:r>
        <w:tab/>
      </w:r>
      <w:r>
        <w:tab/>
      </w:r>
      <w:r>
        <w:tab/>
      </w:r>
      <w:bookmarkStart w:id="0" w:name="_GoBack"/>
      <w:bookmarkEnd w:id="0"/>
      <w:r>
        <w:tab/>
      </w:r>
      <w:r>
        <w:tab/>
      </w:r>
      <w:r>
        <w:tab/>
        <w:t>Tihomir Paradžiković, dipl. oec.</w:t>
      </w:r>
    </w:p>
    <w:p w:rsidR="007F699A" w:rsidRDefault="007F699A" w:rsidP="007F699A">
      <w:r>
        <w:tab/>
      </w:r>
      <w:r>
        <w:tab/>
      </w:r>
      <w:r>
        <w:tab/>
      </w:r>
      <w:r>
        <w:tab/>
      </w:r>
      <w:r>
        <w:tab/>
      </w:r>
      <w:r>
        <w:tab/>
      </w:r>
      <w:r>
        <w:tab/>
      </w:r>
    </w:p>
    <w:p w:rsidR="007F699A" w:rsidRDefault="007F699A" w:rsidP="007F699A">
      <w:pPr>
        <w:ind w:left="4248" w:firstLine="708"/>
      </w:pPr>
      <w:r>
        <w:t>__________________________</w:t>
      </w:r>
    </w:p>
    <w:p w:rsidR="007F699A" w:rsidRDefault="007F699A" w:rsidP="007F699A"/>
    <w:p w:rsidR="007F699A" w:rsidRDefault="007F699A" w:rsidP="007F699A">
      <w:pPr>
        <w:pStyle w:val="Bezproreda"/>
      </w:pPr>
      <w:r>
        <w:tab/>
      </w:r>
      <w:r>
        <w:tab/>
      </w:r>
      <w:r>
        <w:tab/>
      </w:r>
      <w:r>
        <w:tab/>
      </w:r>
      <w:r>
        <w:tab/>
      </w:r>
      <w:r>
        <w:tab/>
      </w:r>
      <w:r>
        <w:tab/>
        <w:t>Zakonski predstavnik:</w:t>
      </w:r>
    </w:p>
    <w:p w:rsidR="007F699A" w:rsidRDefault="007F699A" w:rsidP="007F699A">
      <w:pPr>
        <w:pStyle w:val="Bezproreda"/>
        <w:rPr>
          <w:sz w:val="16"/>
          <w:szCs w:val="16"/>
        </w:rPr>
      </w:pPr>
    </w:p>
    <w:p w:rsidR="007F699A" w:rsidRDefault="007F699A" w:rsidP="007F699A">
      <w:pPr>
        <w:pStyle w:val="Bezproreda"/>
      </w:pPr>
      <w:r>
        <w:tab/>
      </w:r>
      <w:r>
        <w:tab/>
      </w:r>
      <w:r>
        <w:tab/>
      </w:r>
      <w:r>
        <w:tab/>
      </w:r>
      <w:r>
        <w:tab/>
      </w:r>
      <w:r>
        <w:tab/>
      </w:r>
      <w:r>
        <w:tab/>
        <w:t>Ružica Primorac, prof.</w:t>
      </w:r>
    </w:p>
    <w:p w:rsidR="007F699A" w:rsidRDefault="007F699A" w:rsidP="007F699A"/>
    <w:p w:rsidR="007F699A" w:rsidRDefault="007F699A" w:rsidP="007F699A">
      <w:pPr>
        <w:rPr>
          <w:rFonts w:ascii="Calibri" w:hAnsi="Calibri" w:cs="Calibri"/>
          <w:b/>
          <w:bCs/>
          <w:color w:val="000000"/>
          <w:sz w:val="22"/>
          <w:szCs w:val="22"/>
        </w:rPr>
      </w:pPr>
      <w:r>
        <w:tab/>
      </w:r>
      <w:r>
        <w:tab/>
      </w:r>
      <w:r>
        <w:tab/>
      </w:r>
      <w:r>
        <w:tab/>
      </w:r>
      <w:r>
        <w:tab/>
      </w:r>
      <w:r>
        <w:tab/>
      </w:r>
      <w:r>
        <w:tab/>
        <w:t>__________________________</w:t>
      </w:r>
    </w:p>
    <w:p w:rsidR="007F699A" w:rsidRDefault="007F699A"/>
    <w:sectPr w:rsidR="007F699A" w:rsidSect="008F3E59">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06F" w:rsidRDefault="008C706F" w:rsidP="007A4215">
      <w:pPr>
        <w:spacing w:after="0" w:line="240" w:lineRule="auto"/>
      </w:pPr>
      <w:r>
        <w:separator/>
      </w:r>
    </w:p>
  </w:endnote>
  <w:endnote w:type="continuationSeparator" w:id="0">
    <w:p w:rsidR="008C706F" w:rsidRDefault="008C706F" w:rsidP="007A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560714"/>
      <w:docPartObj>
        <w:docPartGallery w:val="Page Numbers (Bottom of Page)"/>
        <w:docPartUnique/>
      </w:docPartObj>
    </w:sdtPr>
    <w:sdtEndPr/>
    <w:sdtContent>
      <w:p w:rsidR="007A4215" w:rsidRDefault="007A4215">
        <w:pPr>
          <w:pStyle w:val="Podnoje"/>
          <w:jc w:val="right"/>
        </w:pPr>
        <w:r>
          <w:fldChar w:fldCharType="begin"/>
        </w:r>
        <w:r>
          <w:instrText>PAGE   \* MERGEFORMAT</w:instrText>
        </w:r>
        <w:r>
          <w:fldChar w:fldCharType="separate"/>
        </w:r>
        <w:r w:rsidR="007F699A" w:rsidRPr="007F699A">
          <w:rPr>
            <w:noProof/>
            <w:lang w:val="hr-HR"/>
          </w:rPr>
          <w:t>1</w:t>
        </w:r>
        <w:r>
          <w:fldChar w:fldCharType="end"/>
        </w:r>
      </w:p>
    </w:sdtContent>
  </w:sdt>
  <w:p w:rsidR="007A4215" w:rsidRDefault="007A421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06F" w:rsidRDefault="008C706F" w:rsidP="007A4215">
      <w:pPr>
        <w:spacing w:after="0" w:line="240" w:lineRule="auto"/>
      </w:pPr>
      <w:r>
        <w:separator/>
      </w:r>
    </w:p>
  </w:footnote>
  <w:footnote w:type="continuationSeparator" w:id="0">
    <w:p w:rsidR="008C706F" w:rsidRDefault="008C706F" w:rsidP="007A4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10AD"/>
    <w:rsid w:val="006249B8"/>
    <w:rsid w:val="007210AD"/>
    <w:rsid w:val="007A4215"/>
    <w:rsid w:val="007F699A"/>
    <w:rsid w:val="008C706F"/>
    <w:rsid w:val="008F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3BE5C"/>
  <w15:docId w15:val="{1F12166B-F37D-4AA5-8573-3A1DB2F0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F3E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3E59"/>
    <w:rPr>
      <w:rFonts w:ascii="Segoe UI" w:hAnsi="Segoe UI" w:cs="Segoe UI"/>
      <w:sz w:val="18"/>
      <w:szCs w:val="18"/>
    </w:rPr>
  </w:style>
  <w:style w:type="paragraph" w:styleId="Zaglavlje">
    <w:name w:val="header"/>
    <w:basedOn w:val="Normal"/>
    <w:link w:val="ZaglavljeChar"/>
    <w:uiPriority w:val="99"/>
    <w:unhideWhenUsed/>
    <w:rsid w:val="007A4215"/>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7A4215"/>
  </w:style>
  <w:style w:type="paragraph" w:styleId="Podnoje">
    <w:name w:val="footer"/>
    <w:basedOn w:val="Normal"/>
    <w:link w:val="PodnojeChar"/>
    <w:uiPriority w:val="99"/>
    <w:unhideWhenUsed/>
    <w:rsid w:val="007A4215"/>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7A4215"/>
  </w:style>
  <w:style w:type="paragraph" w:styleId="Bezproreda">
    <w:name w:val="No Spacing"/>
    <w:uiPriority w:val="1"/>
    <w:qFormat/>
    <w:rsid w:val="007F6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47DC-53EA-46BF-82C7-466497F8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7254</Words>
  <Characters>41354</Characters>
  <Application>Microsoft Office Word</Application>
  <DocSecurity>0</DocSecurity>
  <Lines>344</Lines>
  <Paragraphs>97</Paragraphs>
  <ScaleCrop>false</ScaleCrop>
  <Company/>
  <LinksUpToDate>false</LinksUpToDate>
  <CharactersWithSpaces>48511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Tihomir</cp:lastModifiedBy>
  <cp:revision>5</cp:revision>
  <cp:lastPrinted>2026-01-30T12:03:00Z</cp:lastPrinted>
  <dcterms:created xsi:type="dcterms:W3CDTF">2026-01-30T11:51:00Z</dcterms:created>
  <dcterms:modified xsi:type="dcterms:W3CDTF">2026-01-30T12:03:00Z</dcterms:modified>
</cp:coreProperties>
</file>