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CD" w:rsidRDefault="003278CD" w:rsidP="003278CD">
      <w:pPr>
        <w:spacing w:line="320" w:lineRule="atLeast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3425715</wp:posOffset>
            </wp:positionH>
            <wp:positionV relativeFrom="paragraph">
              <wp:posOffset>553</wp:posOffset>
            </wp:positionV>
            <wp:extent cx="2180590" cy="1423090"/>
            <wp:effectExtent l="0" t="0" r="0" b="5715"/>
            <wp:wrapTight wrapText="bothSides">
              <wp:wrapPolygon edited="0">
                <wp:start x="0" y="0"/>
                <wp:lineTo x="0" y="21398"/>
                <wp:lineTo x="21323" y="21398"/>
                <wp:lineTo x="21323" y="0"/>
                <wp:lineTo x="0" y="0"/>
              </wp:wrapPolygon>
            </wp:wrapTight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17" cy="14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BB9">
        <w:rPr>
          <w:b/>
        </w:rPr>
        <w:t xml:space="preserve">OSJEČKO – BARANJSKA ŽUPANIJA              OSNOVNA ŠKOLA JOSIPA KOZARCA 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rPr>
          <w:b/>
        </w:rPr>
        <w:t>SEMELJCI</w:t>
      </w:r>
      <w:r>
        <w:rPr>
          <w:b/>
        </w:rPr>
        <w:t>, ŠKOLSKA 21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rPr>
          <w:b/>
        </w:rPr>
        <w:sym w:font="Wingdings 2" w:char="0027"/>
      </w:r>
      <w:r w:rsidR="00AA7E1B">
        <w:t xml:space="preserve"> 031/856-081    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e-mail: </w:t>
      </w:r>
      <w:hyperlink r:id="rId9" w:history="1">
        <w:r w:rsidRPr="00DE5BB9">
          <w:rPr>
            <w:rStyle w:val="Hiperveza"/>
          </w:rPr>
          <w:t>skola@os-jkozarca-semeljci.skole.hr</w:t>
        </w:r>
      </w:hyperlink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web stranica: </w:t>
      </w:r>
      <w:hyperlink r:id="rId10" w:history="1">
        <w:r w:rsidRPr="00DE5BB9">
          <w:rPr>
            <w:rStyle w:val="Hiperveza"/>
          </w:rPr>
          <w:t>http://os-jkozarca-semeljci.skole.hr/</w:t>
        </w:r>
      </w:hyperlink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OIB-77433474733   </w:t>
      </w:r>
      <w:r>
        <w:t>IBAN-</w:t>
      </w:r>
      <w:r w:rsidR="00AA7E1B" w:rsidRPr="00AA7E1B">
        <w:t xml:space="preserve"> </w:t>
      </w:r>
      <w:r w:rsidR="00AA7E1B" w:rsidRPr="00524D2E">
        <w:t>HR</w:t>
      </w:r>
      <w:r w:rsidR="00AA7E1B" w:rsidRPr="00ED6A08">
        <w:t>5723900011500273304</w:t>
      </w:r>
    </w:p>
    <w:p w:rsidR="003278CD" w:rsidRPr="00FA4D87" w:rsidRDefault="003278CD" w:rsidP="003278CD">
      <w:pPr>
        <w:pBdr>
          <w:bottom w:val="single" w:sz="12" w:space="5" w:color="auto"/>
        </w:pBdr>
        <w:spacing w:line="320" w:lineRule="atLeast"/>
        <w:rPr>
          <w:b/>
          <w:sz w:val="12"/>
          <w:u w:val="single"/>
        </w:rPr>
      </w:pPr>
    </w:p>
    <w:p w:rsidR="003278CD" w:rsidRDefault="003278CD" w:rsidP="003278CD"/>
    <w:p w:rsidR="003278CD" w:rsidRDefault="003278CD">
      <w:pPr>
        <w:pStyle w:val="Naslov"/>
      </w:pPr>
    </w:p>
    <w:p w:rsidR="007F44B3" w:rsidRDefault="00830DDC" w:rsidP="003278CD">
      <w:pPr>
        <w:pStyle w:val="Naslov"/>
        <w:jc w:val="center"/>
      </w:pPr>
      <w:r>
        <w:t>OBRAZLOŽENJE</w:t>
      </w:r>
      <w:r w:rsidR="00AB4866">
        <w:t xml:space="preserve"> </w:t>
      </w:r>
      <w:r w:rsidR="00E00CB0">
        <w:t>POLU</w:t>
      </w:r>
      <w:r>
        <w:t>GODIŠNJEG</w:t>
      </w:r>
      <w:r>
        <w:rPr>
          <w:spacing w:val="-4"/>
        </w:rPr>
        <w:t xml:space="preserve"> </w:t>
      </w:r>
      <w:r>
        <w:t>IZVJEŠTAJA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FINANCIJSKOG</w:t>
      </w:r>
    </w:p>
    <w:p w:rsidR="007F44B3" w:rsidRDefault="00830DDC" w:rsidP="003278CD">
      <w:pPr>
        <w:pStyle w:val="Naslov"/>
        <w:spacing w:before="26"/>
        <w:jc w:val="center"/>
      </w:pPr>
      <w:r>
        <w:t>PLANA</w:t>
      </w:r>
      <w:r>
        <w:rPr>
          <w:spacing w:val="-5"/>
        </w:rPr>
        <w:t xml:space="preserve"> </w:t>
      </w:r>
      <w:r w:rsidR="00AB4866">
        <w:rPr>
          <w:spacing w:val="-5"/>
        </w:rPr>
        <w:t xml:space="preserve">OSNOVNE ŠKOLE JOSIPA KOZARCA </w:t>
      </w:r>
      <w:r>
        <w:t>ZA</w:t>
      </w:r>
      <w:r>
        <w:rPr>
          <w:spacing w:val="-3"/>
        </w:rPr>
        <w:t xml:space="preserve"> </w:t>
      </w:r>
      <w:r>
        <w:t>202</w:t>
      </w:r>
      <w:r w:rsidR="00E00CB0">
        <w:t>5</w:t>
      </w:r>
      <w:r>
        <w:t>.</w:t>
      </w:r>
      <w:r>
        <w:rPr>
          <w:spacing w:val="-1"/>
        </w:rPr>
        <w:t xml:space="preserve"> </w:t>
      </w:r>
      <w:r>
        <w:t>GODINU</w:t>
      </w:r>
    </w:p>
    <w:p w:rsidR="007F44B3" w:rsidRDefault="007F44B3">
      <w:pPr>
        <w:pStyle w:val="Tijeloteksta"/>
        <w:rPr>
          <w:rFonts w:ascii="Calibri"/>
          <w:b/>
          <w:sz w:val="24"/>
        </w:rPr>
      </w:pPr>
    </w:p>
    <w:p w:rsidR="003278CD" w:rsidRDefault="003278CD">
      <w:pPr>
        <w:pStyle w:val="Tijeloteksta"/>
        <w:rPr>
          <w:rFonts w:ascii="Calibri"/>
          <w:b/>
          <w:sz w:val="24"/>
        </w:rPr>
      </w:pPr>
    </w:p>
    <w:p w:rsidR="007F44B3" w:rsidRDefault="00830DDC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Obrazloženje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općeg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dijela</w:t>
      </w:r>
      <w:r>
        <w:rPr>
          <w:rFonts w:ascii="Calibri" w:hAnsi="Calibri"/>
          <w:b/>
          <w:spacing w:val="-6"/>
        </w:rPr>
        <w:t xml:space="preserve"> </w:t>
      </w:r>
      <w:r w:rsidR="00E00CB0">
        <w:rPr>
          <w:rFonts w:ascii="Calibri" w:hAnsi="Calibri"/>
          <w:b/>
          <w:spacing w:val="-6"/>
        </w:rPr>
        <w:t>Polug</w:t>
      </w:r>
      <w:r w:rsidR="00A12BCF">
        <w:rPr>
          <w:rFonts w:ascii="Calibri" w:hAnsi="Calibri"/>
          <w:b/>
          <w:spacing w:val="-6"/>
        </w:rPr>
        <w:t>o</w:t>
      </w:r>
      <w:r>
        <w:rPr>
          <w:rFonts w:ascii="Calibri" w:hAnsi="Calibri"/>
          <w:b/>
        </w:rPr>
        <w:t>dišnjeg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izvještaja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izvršenju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financijskog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plana</w:t>
      </w:r>
    </w:p>
    <w:p w:rsidR="007F44B3" w:rsidRDefault="007F44B3">
      <w:pPr>
        <w:pStyle w:val="Tijeloteksta"/>
        <w:spacing w:before="8"/>
        <w:rPr>
          <w:rFonts w:ascii="Calibri"/>
          <w:b/>
          <w:sz w:val="29"/>
        </w:rPr>
      </w:pPr>
    </w:p>
    <w:p w:rsidR="00503AE2" w:rsidRDefault="00503AE2">
      <w:pPr>
        <w:pStyle w:val="Tijeloteksta"/>
        <w:spacing w:before="8"/>
        <w:rPr>
          <w:rFonts w:ascii="Calibri"/>
          <w:b/>
          <w:sz w:val="22"/>
          <w:szCs w:val="22"/>
        </w:rPr>
      </w:pPr>
      <w:r>
        <w:rPr>
          <w:rFonts w:ascii="Calibri"/>
          <w:b/>
          <w:sz w:val="29"/>
        </w:rPr>
        <w:t xml:space="preserve">   </w:t>
      </w:r>
      <w:r w:rsidRPr="00503AE2">
        <w:rPr>
          <w:rFonts w:ascii="Calibri"/>
          <w:b/>
          <w:sz w:val="22"/>
          <w:szCs w:val="22"/>
        </w:rPr>
        <w:t>PRIHODI I PRIMICI</w:t>
      </w:r>
      <w:bookmarkStart w:id="0" w:name="_GoBack"/>
      <w:bookmarkEnd w:id="0"/>
    </w:p>
    <w:p w:rsidR="00503AE2" w:rsidRPr="00503AE2" w:rsidRDefault="00503AE2">
      <w:pPr>
        <w:pStyle w:val="Tijeloteksta"/>
        <w:spacing w:before="8"/>
        <w:rPr>
          <w:rFonts w:ascii="Calibri"/>
          <w:b/>
          <w:sz w:val="22"/>
          <w:szCs w:val="22"/>
        </w:rPr>
      </w:pPr>
    </w:p>
    <w:p w:rsidR="004B6A22" w:rsidRDefault="004A0D3D" w:rsidP="004B6A22">
      <w:pPr>
        <w:pStyle w:val="Naslo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F082E" w:rsidRPr="004B6A22">
        <w:rPr>
          <w:b w:val="0"/>
          <w:sz w:val="22"/>
          <w:szCs w:val="22"/>
        </w:rPr>
        <w:t xml:space="preserve">Osnovna </w:t>
      </w:r>
      <w:r w:rsidR="00482F98" w:rsidRPr="004B6A22">
        <w:rPr>
          <w:b w:val="0"/>
          <w:sz w:val="22"/>
          <w:szCs w:val="22"/>
        </w:rPr>
        <w:t>škola J</w:t>
      </w:r>
      <w:r w:rsidR="00CF082E" w:rsidRPr="004B6A22">
        <w:rPr>
          <w:b w:val="0"/>
          <w:sz w:val="22"/>
          <w:szCs w:val="22"/>
        </w:rPr>
        <w:t>osipa Kozarca</w:t>
      </w:r>
      <w:r w:rsidR="00830DDC" w:rsidRPr="004B6A22">
        <w:rPr>
          <w:b w:val="0"/>
          <w:sz w:val="22"/>
          <w:szCs w:val="22"/>
        </w:rPr>
        <w:t xml:space="preserve"> u razdoblju 1. siječnja do 3</w:t>
      </w:r>
      <w:r w:rsidR="00E00CB0">
        <w:rPr>
          <w:b w:val="0"/>
          <w:sz w:val="22"/>
          <w:szCs w:val="22"/>
        </w:rPr>
        <w:t>0</w:t>
      </w:r>
      <w:r w:rsidR="00830DDC" w:rsidRPr="004B6A22">
        <w:rPr>
          <w:b w:val="0"/>
          <w:sz w:val="22"/>
          <w:szCs w:val="22"/>
        </w:rPr>
        <w:t xml:space="preserve">. </w:t>
      </w:r>
      <w:r w:rsidR="00E00CB0">
        <w:rPr>
          <w:b w:val="0"/>
          <w:sz w:val="22"/>
          <w:szCs w:val="22"/>
        </w:rPr>
        <w:t>lipnj</w:t>
      </w:r>
      <w:r w:rsidR="00925BC4" w:rsidRPr="004B6A22">
        <w:rPr>
          <w:b w:val="0"/>
          <w:sz w:val="22"/>
          <w:szCs w:val="22"/>
        </w:rPr>
        <w:t>a</w:t>
      </w:r>
      <w:r w:rsidR="00830DDC" w:rsidRPr="004B6A22">
        <w:rPr>
          <w:b w:val="0"/>
          <w:sz w:val="22"/>
          <w:szCs w:val="22"/>
        </w:rPr>
        <w:t xml:space="preserve"> 202</w:t>
      </w:r>
      <w:r w:rsidR="005E442F">
        <w:rPr>
          <w:b w:val="0"/>
          <w:sz w:val="22"/>
          <w:szCs w:val="22"/>
        </w:rPr>
        <w:t>5</w:t>
      </w:r>
      <w:r w:rsidR="00830DDC" w:rsidRPr="004B6A22">
        <w:rPr>
          <w:b w:val="0"/>
          <w:sz w:val="22"/>
          <w:szCs w:val="22"/>
        </w:rPr>
        <w:t>. godine ostvarila je</w:t>
      </w:r>
      <w:r w:rsidR="00830DDC" w:rsidRPr="004B6A22">
        <w:rPr>
          <w:b w:val="0"/>
          <w:spacing w:val="1"/>
          <w:sz w:val="22"/>
          <w:szCs w:val="22"/>
        </w:rPr>
        <w:t xml:space="preserve"> </w:t>
      </w:r>
      <w:r w:rsidR="00482F98" w:rsidRPr="004B6A22">
        <w:rPr>
          <w:b w:val="0"/>
          <w:sz w:val="22"/>
          <w:szCs w:val="22"/>
        </w:rPr>
        <w:t xml:space="preserve">ukupne prihode u iznosu </w:t>
      </w:r>
      <w:r w:rsidR="00E00CB0">
        <w:rPr>
          <w:b w:val="0"/>
          <w:sz w:val="22"/>
          <w:szCs w:val="22"/>
        </w:rPr>
        <w:t>1.098.895,65</w:t>
      </w:r>
      <w:r w:rsidR="00482F98" w:rsidRPr="004B6A22">
        <w:rPr>
          <w:b w:val="0"/>
          <w:sz w:val="22"/>
          <w:szCs w:val="22"/>
        </w:rPr>
        <w:t xml:space="preserve"> </w:t>
      </w:r>
      <w:r w:rsidR="00830DDC" w:rsidRPr="004B6A22">
        <w:rPr>
          <w:b w:val="0"/>
          <w:sz w:val="22"/>
          <w:szCs w:val="22"/>
        </w:rPr>
        <w:t>eura</w:t>
      </w:r>
      <w:r w:rsidR="004B6A22" w:rsidRPr="004B6A22">
        <w:rPr>
          <w:b w:val="0"/>
          <w:sz w:val="22"/>
          <w:szCs w:val="22"/>
        </w:rPr>
        <w:t xml:space="preserve"> što iznosi </w:t>
      </w:r>
      <w:r w:rsidR="00E00CB0">
        <w:rPr>
          <w:b w:val="0"/>
          <w:sz w:val="22"/>
          <w:szCs w:val="22"/>
        </w:rPr>
        <w:t>49</w:t>
      </w:r>
      <w:r w:rsidR="00AA7E1B">
        <w:rPr>
          <w:b w:val="0"/>
          <w:sz w:val="22"/>
          <w:szCs w:val="22"/>
        </w:rPr>
        <w:t>,</w:t>
      </w:r>
      <w:r w:rsidR="00E00CB0">
        <w:rPr>
          <w:b w:val="0"/>
          <w:sz w:val="22"/>
          <w:szCs w:val="22"/>
        </w:rPr>
        <w:t>51</w:t>
      </w:r>
      <w:r w:rsidR="00AA7E1B">
        <w:rPr>
          <w:b w:val="0"/>
          <w:sz w:val="22"/>
          <w:szCs w:val="22"/>
        </w:rPr>
        <w:t>%</w:t>
      </w:r>
      <w:r w:rsidR="004B6A22" w:rsidRPr="004B6A22">
        <w:rPr>
          <w:b w:val="0"/>
          <w:sz w:val="22"/>
          <w:szCs w:val="22"/>
        </w:rPr>
        <w:t xml:space="preserve"> godišnjeg plana</w:t>
      </w:r>
      <w:r w:rsidR="00830DDC" w:rsidRPr="004B6A22">
        <w:rPr>
          <w:b w:val="0"/>
          <w:sz w:val="22"/>
          <w:szCs w:val="22"/>
        </w:rPr>
        <w:t xml:space="preserve">. </w:t>
      </w:r>
      <w:r w:rsidR="004B6A22">
        <w:rPr>
          <w:b w:val="0"/>
          <w:sz w:val="22"/>
          <w:szCs w:val="22"/>
        </w:rPr>
        <w:t xml:space="preserve">Od tog iznosa </w:t>
      </w:r>
      <w:r w:rsidR="005A2988">
        <w:rPr>
          <w:b w:val="0"/>
          <w:sz w:val="22"/>
          <w:szCs w:val="22"/>
        </w:rPr>
        <w:t>62.364,42</w:t>
      </w:r>
      <w:r w:rsidR="00C712BF">
        <w:rPr>
          <w:b w:val="0"/>
          <w:sz w:val="22"/>
          <w:szCs w:val="22"/>
        </w:rPr>
        <w:t xml:space="preserve"> eura odnosi se na prihode</w:t>
      </w:r>
      <w:r w:rsidR="00AA7E1B">
        <w:rPr>
          <w:b w:val="0"/>
          <w:sz w:val="22"/>
          <w:szCs w:val="22"/>
        </w:rPr>
        <w:t xml:space="preserve"> iz Županijskog proračuna, a 1.</w:t>
      </w:r>
      <w:r w:rsidR="005A2988">
        <w:rPr>
          <w:b w:val="0"/>
          <w:sz w:val="22"/>
          <w:szCs w:val="22"/>
        </w:rPr>
        <w:t>036.531,23</w:t>
      </w:r>
      <w:r w:rsidR="00C712BF">
        <w:rPr>
          <w:b w:val="0"/>
          <w:sz w:val="22"/>
          <w:szCs w:val="22"/>
        </w:rPr>
        <w:t xml:space="preserve"> eura odnosi se na prihode od subjekata izvan Županijskog proračuna</w:t>
      </w:r>
      <w:r w:rsidR="00AA11AC">
        <w:rPr>
          <w:b w:val="0"/>
          <w:sz w:val="22"/>
          <w:szCs w:val="22"/>
        </w:rPr>
        <w:t>, kako slijedi:</w:t>
      </w:r>
    </w:p>
    <w:p w:rsidR="00A12BCF" w:rsidRDefault="00A12BCF" w:rsidP="004B6A22">
      <w:pPr>
        <w:pStyle w:val="Naslov"/>
        <w:rPr>
          <w:b w:val="0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266"/>
        <w:gridCol w:w="1701"/>
        <w:gridCol w:w="2107"/>
        <w:gridCol w:w="1607"/>
      </w:tblGrid>
      <w:tr w:rsidR="00A12BCF" w:rsidRPr="004F745F" w:rsidTr="00781205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Županijski proračun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2C56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C56E4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>.</w:t>
            </w:r>
            <w:r w:rsidR="002C56E4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</w:rPr>
              <w:t>,</w:t>
            </w:r>
            <w:r w:rsidR="002C56E4">
              <w:rPr>
                <w:sz w:val="20"/>
                <w:szCs w:val="20"/>
              </w:rPr>
              <w:t>79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2C56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E1B">
              <w:rPr>
                <w:sz w:val="20"/>
                <w:szCs w:val="20"/>
              </w:rPr>
              <w:t>.</w:t>
            </w:r>
            <w:r w:rsidR="002C56E4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>.</w:t>
            </w:r>
            <w:r w:rsidR="002C56E4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</w:rPr>
              <w:t>,</w:t>
            </w:r>
            <w:r w:rsidR="002C56E4">
              <w:rPr>
                <w:sz w:val="20"/>
                <w:szCs w:val="20"/>
              </w:rPr>
              <w:t>79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od upravnih i administrativnih pristojbi,  pristojbi  po posebnim propisima i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2C56E4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2.999,44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2C56E4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2.999,44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2C56E4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2.578,00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2C56E4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2.578,00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2C56E4" w:rsidP="00AA7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62.364,42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5A2988" w:rsidP="00AA7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62.364,42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5A2988" w:rsidP="00AA7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62.364,42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5A2988" w:rsidP="00AA7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1.036.531,23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142220" w:rsidP="00AA7E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1.098.895,65</w:t>
            </w:r>
          </w:p>
        </w:tc>
      </w:tr>
    </w:tbl>
    <w:p w:rsidR="00AA11AC" w:rsidRDefault="00AA11AC" w:rsidP="004B6A22">
      <w:pPr>
        <w:pStyle w:val="Naslov"/>
        <w:rPr>
          <w:b w:val="0"/>
          <w:sz w:val="22"/>
          <w:szCs w:val="22"/>
        </w:rPr>
      </w:pPr>
    </w:p>
    <w:p w:rsidR="00781205" w:rsidRDefault="0085445C" w:rsidP="004B6A22">
      <w:pPr>
        <w:pStyle w:val="Naslov"/>
        <w:rPr>
          <w:b w:val="0"/>
          <w:sz w:val="22"/>
          <w:szCs w:val="22"/>
        </w:rPr>
      </w:pPr>
      <w:r w:rsidRPr="0085445C">
        <w:rPr>
          <w:b w:val="0"/>
          <w:sz w:val="22"/>
          <w:szCs w:val="22"/>
        </w:rPr>
        <w:t>Ukupno ostva</w:t>
      </w:r>
      <w:r>
        <w:rPr>
          <w:b w:val="0"/>
          <w:sz w:val="22"/>
          <w:szCs w:val="22"/>
        </w:rPr>
        <w:t>reni prihodi i primici</w:t>
      </w:r>
      <w:r w:rsidRPr="0085445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Proračuna Osnovne škole Josipa Kozarca</w:t>
      </w:r>
      <w:r w:rsidRPr="0085445C">
        <w:rPr>
          <w:b w:val="0"/>
          <w:sz w:val="22"/>
          <w:szCs w:val="22"/>
        </w:rPr>
        <w:t xml:space="preserve"> u razdoblju od 1. siječnja do 3</w:t>
      </w:r>
      <w:r w:rsidR="005A2988">
        <w:rPr>
          <w:b w:val="0"/>
          <w:sz w:val="22"/>
          <w:szCs w:val="22"/>
        </w:rPr>
        <w:t>0</w:t>
      </w:r>
      <w:r w:rsidRPr="0085445C">
        <w:rPr>
          <w:b w:val="0"/>
          <w:sz w:val="22"/>
          <w:szCs w:val="22"/>
        </w:rPr>
        <w:t xml:space="preserve">. </w:t>
      </w:r>
      <w:r w:rsidR="005A2988">
        <w:rPr>
          <w:b w:val="0"/>
          <w:sz w:val="22"/>
          <w:szCs w:val="22"/>
        </w:rPr>
        <w:t>lipnja 2025</w:t>
      </w:r>
      <w:r w:rsidRPr="0085445C">
        <w:rPr>
          <w:b w:val="0"/>
          <w:sz w:val="22"/>
          <w:szCs w:val="22"/>
        </w:rPr>
        <w:t>. godine po osnovnim skupinama iznose:</w:t>
      </w:r>
    </w:p>
    <w:p w:rsidR="0085445C" w:rsidRDefault="0085445C" w:rsidP="004B6A22">
      <w:pPr>
        <w:pStyle w:val="Naslov"/>
        <w:rPr>
          <w:b w:val="0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060"/>
        <w:gridCol w:w="1435"/>
        <w:gridCol w:w="1673"/>
        <w:gridCol w:w="1116"/>
        <w:gridCol w:w="1397"/>
      </w:tblGrid>
      <w:tr w:rsidR="0079174D" w:rsidRPr="004F745F" w:rsidTr="00142220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za 202</w:t>
            </w:r>
            <w:r w:rsidR="005A298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 godinu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2988" w:rsidRDefault="0079174D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</w:t>
            </w:r>
          </w:p>
          <w:p w:rsidR="0079174D" w:rsidRPr="004F745F" w:rsidRDefault="005A2988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30.06.2025 godine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ostvarenja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u ostvarenju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142220" w:rsidP="00142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074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113</w:t>
            </w:r>
            <w:r w:rsidR="00A074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505</w:t>
            </w:r>
            <w:r w:rsidR="00CD65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292FC8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1.</w:t>
            </w:r>
            <w:r w:rsidR="00292FC8">
              <w:rPr>
                <w:b/>
                <w:sz w:val="20"/>
                <w:szCs w:val="20"/>
              </w:rPr>
              <w:t>030.953,79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79174D" w:rsidRPr="0085445C" w:rsidRDefault="00292FC8" w:rsidP="00CD65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292FC8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93,82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142220" w:rsidP="00142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2.113.505</w:t>
            </w:r>
            <w:r w:rsidR="0079174D" w:rsidRPr="00770233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79174D" w:rsidP="00292F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92FC8">
              <w:rPr>
                <w:sz w:val="20"/>
                <w:szCs w:val="20"/>
              </w:rPr>
              <w:t>030.953,79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79174D" w:rsidRDefault="00292FC8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292FC8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upravnih i administrativnih pristojbi,  pristojbi  po posebnim propisima i naknada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142220" w:rsidP="009937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2.240</w:t>
            </w:r>
            <w:r w:rsidR="00A074D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292FC8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2.999,44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Pr="0085445C" w:rsidRDefault="00292FC8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292FC8" w:rsidP="009937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0,27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po posebnim propisima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142220" w:rsidP="009937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2.240</w:t>
            </w:r>
            <w:r w:rsidR="00A074DD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292FC8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2.999,44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292FC8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292FC8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142220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4.274</w:t>
            </w:r>
            <w:r w:rsidR="00A074D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292FC8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2.578,00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Pr="0085445C" w:rsidRDefault="00292FC8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3245FC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232852">
              <w:rPr>
                <w:b/>
                <w:sz w:val="20"/>
                <w:szCs w:val="20"/>
              </w:rPr>
              <w:t>23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770233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od prodaje p</w:t>
            </w:r>
            <w:r>
              <w:rPr>
                <w:sz w:val="20"/>
                <w:szCs w:val="20"/>
              </w:rPr>
              <w:t>r</w:t>
            </w:r>
            <w:r w:rsidRPr="00770233">
              <w:rPr>
                <w:sz w:val="20"/>
                <w:szCs w:val="20"/>
              </w:rPr>
              <w:t>oizvoda i robe te pruženih usluga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142220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3.628</w:t>
            </w:r>
            <w:r w:rsidR="0079174D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292FC8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2.578,00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9943E2" w:rsidRDefault="00292FC8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23285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A074DD">
              <w:rPr>
                <w:sz w:val="20"/>
                <w:szCs w:val="20"/>
              </w:rPr>
              <w:t>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04251" w:rsidP="009042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9943E2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142220" w:rsidP="009943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99.566</w:t>
            </w:r>
            <w:r w:rsidR="0079174D" w:rsidRPr="0085445C">
              <w:rPr>
                <w:b/>
                <w:sz w:val="20"/>
                <w:szCs w:val="20"/>
              </w:rPr>
              <w:t>,</w:t>
            </w:r>
            <w:r w:rsidR="009943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232852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62.364,42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Default="003245FC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Pr="0085445C" w:rsidRDefault="00232852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93726" w:rsidP="0023285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  <w:r w:rsidR="00232852">
              <w:rPr>
                <w:b/>
                <w:sz w:val="20"/>
                <w:szCs w:val="20"/>
              </w:rPr>
              <w:t>8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142220" w:rsidP="00994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99.566</w:t>
            </w:r>
            <w:r w:rsidR="0079174D" w:rsidRPr="0079174D">
              <w:rPr>
                <w:sz w:val="20"/>
                <w:szCs w:val="20"/>
              </w:rPr>
              <w:t>,</w:t>
            </w:r>
            <w:r w:rsidR="009943E2">
              <w:rPr>
                <w:sz w:val="20"/>
                <w:szCs w:val="20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23285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62.364,42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3245FC" w:rsidRDefault="003245FC" w:rsidP="00AB4866">
            <w:pPr>
              <w:jc w:val="right"/>
              <w:rPr>
                <w:sz w:val="20"/>
                <w:szCs w:val="20"/>
              </w:rPr>
            </w:pPr>
          </w:p>
          <w:p w:rsidR="003245FC" w:rsidRPr="0079174D" w:rsidRDefault="0023285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23285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Kazne, upravne mjere i ostali prihodi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074DD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232852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Pr="0085445C" w:rsidRDefault="00232852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993726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Ostali prihodi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A074D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23285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23285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99372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9174D" w:rsidRPr="004F745F" w:rsidTr="00142220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A074DD" w:rsidP="002328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232852">
              <w:rPr>
                <w:b/>
                <w:bCs/>
                <w:sz w:val="20"/>
                <w:szCs w:val="20"/>
              </w:rPr>
              <w:t>219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232852">
              <w:rPr>
                <w:b/>
                <w:bCs/>
                <w:sz w:val="20"/>
                <w:szCs w:val="20"/>
              </w:rPr>
              <w:t>678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232852" w:rsidP="002328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0425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098</w:t>
            </w:r>
            <w:r w:rsidR="0090425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="0090425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9174D" w:rsidRDefault="00232852" w:rsidP="00AB4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49,51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232852" w:rsidP="00AB4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781205" w:rsidRDefault="00781205" w:rsidP="004B6A22">
      <w:pPr>
        <w:pStyle w:val="Naslov"/>
        <w:rPr>
          <w:b w:val="0"/>
          <w:sz w:val="22"/>
          <w:szCs w:val="22"/>
        </w:rPr>
      </w:pPr>
    </w:p>
    <w:p w:rsidR="00AA11AC" w:rsidRDefault="004A0D3D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ab/>
      </w:r>
      <w:r w:rsidRPr="008D3023">
        <w:rPr>
          <w:sz w:val="20"/>
          <w:szCs w:val="20"/>
        </w:rPr>
        <w:t>Pomoći iz inozemstva  i od subjekata unutar općeg proračuna</w:t>
      </w:r>
      <w:r>
        <w:rPr>
          <w:b w:val="0"/>
          <w:sz w:val="20"/>
          <w:szCs w:val="20"/>
        </w:rPr>
        <w:t xml:space="preserve"> sastoje se od </w:t>
      </w:r>
      <w:r w:rsidRPr="004A0D3D">
        <w:rPr>
          <w:b w:val="0"/>
          <w:sz w:val="20"/>
          <w:szCs w:val="20"/>
        </w:rPr>
        <w:t>Pomoći proračunskim korisnicima iz proračuna koji im nije nadležan</w:t>
      </w:r>
      <w:r>
        <w:rPr>
          <w:b w:val="0"/>
          <w:sz w:val="20"/>
          <w:szCs w:val="20"/>
        </w:rPr>
        <w:t xml:space="preserve">. Tijekom godine naplaćeni su u iznosu od </w:t>
      </w:r>
      <w:r w:rsidR="00232852" w:rsidRPr="00232852">
        <w:rPr>
          <w:b w:val="0"/>
          <w:sz w:val="20"/>
          <w:szCs w:val="20"/>
        </w:rPr>
        <w:t>1.030.953,79</w:t>
      </w:r>
      <w:r w:rsidR="00232852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232852">
        <w:rPr>
          <w:b w:val="0"/>
          <w:sz w:val="20"/>
          <w:szCs w:val="20"/>
        </w:rPr>
        <w:t>48,78</w:t>
      </w:r>
      <w:r>
        <w:rPr>
          <w:b w:val="0"/>
          <w:sz w:val="20"/>
          <w:szCs w:val="20"/>
        </w:rPr>
        <w:t>% godišnjeg plana. Prihodi od pomoći iz inozemstva i od subjekata unutar op</w:t>
      </w:r>
      <w:r w:rsidR="002B795B">
        <w:rPr>
          <w:b w:val="0"/>
          <w:sz w:val="20"/>
          <w:szCs w:val="20"/>
        </w:rPr>
        <w:t>ć</w:t>
      </w:r>
      <w:r>
        <w:rPr>
          <w:b w:val="0"/>
          <w:sz w:val="20"/>
          <w:szCs w:val="20"/>
        </w:rPr>
        <w:t xml:space="preserve">eg proračuna čine </w:t>
      </w:r>
      <w:r w:rsidR="00232852">
        <w:rPr>
          <w:b w:val="0"/>
          <w:sz w:val="20"/>
          <w:szCs w:val="20"/>
        </w:rPr>
        <w:t>93,82</w:t>
      </w:r>
      <w:r>
        <w:rPr>
          <w:b w:val="0"/>
          <w:sz w:val="20"/>
          <w:szCs w:val="20"/>
        </w:rPr>
        <w:t>% ukupno ostvarenih prihoda i primitaka Proračuna unutar promatranog razdoblja.</w:t>
      </w:r>
    </w:p>
    <w:p w:rsidR="008D3023" w:rsidRDefault="008D3023" w:rsidP="004B6A22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4A0D3D">
        <w:rPr>
          <w:b w:val="0"/>
          <w:sz w:val="20"/>
          <w:szCs w:val="20"/>
        </w:rPr>
        <w:t>Pomoći proračunskim korisnicima iz proračuna koji im nije nadležan</w:t>
      </w:r>
      <w:r>
        <w:rPr>
          <w:b w:val="0"/>
          <w:sz w:val="20"/>
          <w:szCs w:val="20"/>
        </w:rPr>
        <w:t xml:space="preserve"> sastoje se od tekućih i kapitalnih pomoći iz državnog proračuna i tekućih</w:t>
      </w:r>
      <w:r w:rsidRPr="008D3023">
        <w:rPr>
          <w:b w:val="0"/>
          <w:sz w:val="20"/>
          <w:szCs w:val="20"/>
        </w:rPr>
        <w:t xml:space="preserve"> pomoći proračunskim korisnicima iz proračuna JLP(R)S</w:t>
      </w:r>
      <w:r w:rsidR="005D0924">
        <w:rPr>
          <w:b w:val="0"/>
          <w:sz w:val="20"/>
          <w:szCs w:val="20"/>
        </w:rPr>
        <w:t>. Tekuće pomoći iz državnog proračuna iznose 1.</w:t>
      </w:r>
      <w:r w:rsidR="00232852">
        <w:rPr>
          <w:b w:val="0"/>
          <w:sz w:val="20"/>
          <w:szCs w:val="20"/>
        </w:rPr>
        <w:t>028.909</w:t>
      </w:r>
      <w:r w:rsidR="00683BD5">
        <w:rPr>
          <w:b w:val="0"/>
          <w:sz w:val="20"/>
          <w:szCs w:val="20"/>
        </w:rPr>
        <w:t>,</w:t>
      </w:r>
      <w:r w:rsidR="00232852">
        <w:rPr>
          <w:b w:val="0"/>
          <w:sz w:val="20"/>
          <w:szCs w:val="20"/>
        </w:rPr>
        <w:t>39</w:t>
      </w:r>
      <w:r w:rsidR="005D0924">
        <w:rPr>
          <w:b w:val="0"/>
          <w:sz w:val="20"/>
          <w:szCs w:val="20"/>
        </w:rPr>
        <w:t xml:space="preserve"> eura i čine </w:t>
      </w:r>
      <w:r w:rsidR="007A6848">
        <w:rPr>
          <w:b w:val="0"/>
          <w:sz w:val="20"/>
          <w:szCs w:val="20"/>
        </w:rPr>
        <w:t>93</w:t>
      </w:r>
      <w:r w:rsidR="00683BD5">
        <w:rPr>
          <w:b w:val="0"/>
          <w:sz w:val="20"/>
          <w:szCs w:val="20"/>
        </w:rPr>
        <w:t>,</w:t>
      </w:r>
      <w:r w:rsidR="007A6848">
        <w:rPr>
          <w:b w:val="0"/>
          <w:sz w:val="20"/>
          <w:szCs w:val="20"/>
        </w:rPr>
        <w:t>6</w:t>
      </w:r>
      <w:r w:rsidR="00683BD5">
        <w:rPr>
          <w:b w:val="0"/>
          <w:sz w:val="20"/>
          <w:szCs w:val="20"/>
        </w:rPr>
        <w:t>3</w:t>
      </w:r>
      <w:r w:rsidR="005D0924">
        <w:rPr>
          <w:b w:val="0"/>
          <w:sz w:val="20"/>
          <w:szCs w:val="20"/>
        </w:rPr>
        <w:t>% ukupno ostvarenih prihoda Proračuna. Obuhvaćaju plaće i druga materijalna prava djelatnika Škole, sredstva za prehranu učenika</w:t>
      </w:r>
      <w:r w:rsidR="00683BD5">
        <w:rPr>
          <w:b w:val="0"/>
          <w:sz w:val="20"/>
          <w:szCs w:val="20"/>
        </w:rPr>
        <w:t>, sredstva za nabavu psihodijagnostičkih sredstava, sredstva za nabavu radnih udžbenika, sredstva za higijenske menstrualne potrepštine, te sredstva za pr</w:t>
      </w:r>
      <w:r w:rsidR="007A6848">
        <w:rPr>
          <w:b w:val="0"/>
          <w:sz w:val="20"/>
          <w:szCs w:val="20"/>
        </w:rPr>
        <w:t>ovođenje preventivnih projekata</w:t>
      </w:r>
      <w:r w:rsidR="00683BD5">
        <w:rPr>
          <w:b w:val="0"/>
          <w:sz w:val="20"/>
          <w:szCs w:val="20"/>
        </w:rPr>
        <w:t>.</w:t>
      </w:r>
      <w:r w:rsidR="005D0924">
        <w:rPr>
          <w:b w:val="0"/>
          <w:sz w:val="20"/>
          <w:szCs w:val="20"/>
        </w:rPr>
        <w:t xml:space="preserve"> Kapitalne pomoći iz državnog proračuna iznose </w:t>
      </w:r>
      <w:r w:rsidR="007A6848">
        <w:rPr>
          <w:b w:val="0"/>
          <w:sz w:val="20"/>
          <w:szCs w:val="20"/>
        </w:rPr>
        <w:t>2.044,40</w:t>
      </w:r>
      <w:r w:rsidR="005D0924">
        <w:rPr>
          <w:b w:val="0"/>
          <w:sz w:val="20"/>
          <w:szCs w:val="20"/>
        </w:rPr>
        <w:t xml:space="preserve"> eura što čini 0,</w:t>
      </w:r>
      <w:r w:rsidR="007A6848">
        <w:rPr>
          <w:b w:val="0"/>
          <w:sz w:val="20"/>
          <w:szCs w:val="20"/>
        </w:rPr>
        <w:t>19</w:t>
      </w:r>
      <w:r w:rsidR="005D0924">
        <w:rPr>
          <w:b w:val="0"/>
          <w:sz w:val="20"/>
          <w:szCs w:val="20"/>
        </w:rPr>
        <w:t xml:space="preserve">% ukupno ostvarenih prihoda, a </w:t>
      </w:r>
      <w:r w:rsidR="007116ED">
        <w:rPr>
          <w:b w:val="0"/>
          <w:sz w:val="20"/>
          <w:szCs w:val="20"/>
        </w:rPr>
        <w:t xml:space="preserve">obuhvaćaju </w:t>
      </w:r>
      <w:r w:rsidR="00683BD5">
        <w:rPr>
          <w:b w:val="0"/>
          <w:sz w:val="20"/>
          <w:szCs w:val="20"/>
        </w:rPr>
        <w:t>sredstva za nabavu udžbenika</w:t>
      </w:r>
      <w:r w:rsidR="007116ED">
        <w:rPr>
          <w:b w:val="0"/>
          <w:sz w:val="20"/>
          <w:szCs w:val="20"/>
        </w:rPr>
        <w:t>. Tekuće</w:t>
      </w:r>
      <w:r w:rsidR="007116ED" w:rsidRPr="008D3023">
        <w:rPr>
          <w:b w:val="0"/>
          <w:sz w:val="20"/>
          <w:szCs w:val="20"/>
        </w:rPr>
        <w:t xml:space="preserve"> pomoći proračunskim korisnicima iz proračuna JLP(R)S</w:t>
      </w:r>
      <w:r w:rsidR="007116ED">
        <w:rPr>
          <w:b w:val="0"/>
          <w:sz w:val="20"/>
          <w:szCs w:val="20"/>
        </w:rPr>
        <w:t xml:space="preserve"> iznose </w:t>
      </w:r>
      <w:r w:rsidR="007A6848">
        <w:rPr>
          <w:b w:val="0"/>
          <w:sz w:val="20"/>
          <w:szCs w:val="20"/>
        </w:rPr>
        <w:t>1.200,00</w:t>
      </w:r>
      <w:r w:rsidR="007116ED">
        <w:rPr>
          <w:b w:val="0"/>
          <w:sz w:val="20"/>
          <w:szCs w:val="20"/>
        </w:rPr>
        <w:t xml:space="preserve"> eura i čine </w:t>
      </w:r>
      <w:r w:rsidR="007A6848">
        <w:rPr>
          <w:b w:val="0"/>
          <w:sz w:val="20"/>
          <w:szCs w:val="20"/>
        </w:rPr>
        <w:t>34,40</w:t>
      </w:r>
      <w:r w:rsidR="007116ED">
        <w:rPr>
          <w:b w:val="0"/>
          <w:sz w:val="20"/>
          <w:szCs w:val="20"/>
        </w:rPr>
        <w:t xml:space="preserve">% godišnjeg plana, a odnose se na pomoći Općine Semeljci za </w:t>
      </w:r>
      <w:r w:rsidR="007A6848">
        <w:rPr>
          <w:b w:val="0"/>
          <w:sz w:val="20"/>
          <w:szCs w:val="20"/>
        </w:rPr>
        <w:t>sufinanciranje Škole u prirodi</w:t>
      </w:r>
      <w:r w:rsidR="00487203">
        <w:rPr>
          <w:b w:val="0"/>
          <w:sz w:val="20"/>
          <w:szCs w:val="20"/>
        </w:rPr>
        <w:t xml:space="preserve">. </w:t>
      </w:r>
    </w:p>
    <w:p w:rsidR="007A6848" w:rsidRDefault="007116ED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454609" w:rsidRDefault="00454609" w:rsidP="007A6848">
      <w:pPr>
        <w:pStyle w:val="Naslov"/>
        <w:ind w:firstLine="484"/>
        <w:rPr>
          <w:b w:val="0"/>
          <w:sz w:val="20"/>
          <w:szCs w:val="20"/>
        </w:rPr>
      </w:pPr>
      <w:r w:rsidRPr="00454609">
        <w:rPr>
          <w:sz w:val="20"/>
          <w:szCs w:val="20"/>
        </w:rPr>
        <w:t>Prihodi od upravnih i administrativnih pristojbi,  pristojbi  po posebnim propisima i naknada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ostvareni su u iznosu od </w:t>
      </w:r>
      <w:r w:rsidR="007A6848">
        <w:rPr>
          <w:b w:val="0"/>
          <w:sz w:val="20"/>
          <w:szCs w:val="20"/>
        </w:rPr>
        <w:t>2.999,44</w:t>
      </w:r>
      <w:r>
        <w:rPr>
          <w:b w:val="0"/>
          <w:sz w:val="20"/>
          <w:szCs w:val="20"/>
        </w:rPr>
        <w:t xml:space="preserve"> eura što čini </w:t>
      </w:r>
      <w:r w:rsidR="007A6848">
        <w:rPr>
          <w:b w:val="0"/>
          <w:sz w:val="20"/>
          <w:szCs w:val="20"/>
        </w:rPr>
        <w:t>133,90</w:t>
      </w:r>
      <w:r>
        <w:rPr>
          <w:b w:val="0"/>
          <w:sz w:val="20"/>
          <w:szCs w:val="20"/>
        </w:rPr>
        <w:t>% godišnjeg plana i 0,</w:t>
      </w:r>
      <w:r w:rsidR="007A6848">
        <w:rPr>
          <w:b w:val="0"/>
          <w:sz w:val="20"/>
          <w:szCs w:val="20"/>
        </w:rPr>
        <w:t>27</w:t>
      </w:r>
      <w:r>
        <w:rPr>
          <w:b w:val="0"/>
          <w:sz w:val="20"/>
          <w:szCs w:val="20"/>
        </w:rPr>
        <w:t>% ukupno ostvarenih prihoda i primitaka Proračuna unutar promatranog razdoblja. Obuhvaćaju prihode za realizaciju terenske nastave te</w:t>
      </w:r>
      <w:r w:rsidR="0014513A">
        <w:rPr>
          <w:b w:val="0"/>
          <w:sz w:val="20"/>
          <w:szCs w:val="20"/>
        </w:rPr>
        <w:t xml:space="preserve"> jednodnevnih</w:t>
      </w:r>
      <w:r w:rsidR="008D443E">
        <w:rPr>
          <w:b w:val="0"/>
          <w:sz w:val="20"/>
          <w:szCs w:val="20"/>
        </w:rPr>
        <w:t xml:space="preserve"> izleta učenika i </w:t>
      </w:r>
      <w:r>
        <w:rPr>
          <w:b w:val="0"/>
          <w:sz w:val="20"/>
          <w:szCs w:val="20"/>
        </w:rPr>
        <w:t xml:space="preserve">naknade </w:t>
      </w:r>
      <w:r w:rsidR="007A6848">
        <w:rPr>
          <w:b w:val="0"/>
          <w:sz w:val="20"/>
          <w:szCs w:val="20"/>
        </w:rPr>
        <w:t>za nastalu štetu</w:t>
      </w:r>
      <w:r>
        <w:rPr>
          <w:b w:val="0"/>
          <w:sz w:val="20"/>
          <w:szCs w:val="20"/>
        </w:rPr>
        <w:t>.</w:t>
      </w:r>
    </w:p>
    <w:p w:rsidR="0014513A" w:rsidRDefault="00454609" w:rsidP="00454609">
      <w:pPr>
        <w:pStyle w:val="Naslov"/>
        <w:rPr>
          <w:sz w:val="20"/>
          <w:szCs w:val="20"/>
        </w:rPr>
      </w:pPr>
      <w:r>
        <w:rPr>
          <w:sz w:val="20"/>
          <w:szCs w:val="20"/>
        </w:rPr>
        <w:tab/>
      </w:r>
    </w:p>
    <w:p w:rsidR="0014513A" w:rsidRDefault="0014513A" w:rsidP="00454609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454609">
        <w:rPr>
          <w:sz w:val="20"/>
          <w:szCs w:val="20"/>
        </w:rPr>
        <w:t>Prihode</w:t>
      </w:r>
      <w:r w:rsidR="00454609" w:rsidRPr="00454609">
        <w:rPr>
          <w:sz w:val="20"/>
          <w:szCs w:val="20"/>
        </w:rPr>
        <w:t xml:space="preserve"> od prodaje proizvoda i robe te pruženih usluga i prihodi od donacija</w:t>
      </w:r>
      <w:r w:rsidR="00454609">
        <w:rPr>
          <w:sz w:val="20"/>
          <w:szCs w:val="20"/>
        </w:rPr>
        <w:t xml:space="preserve"> </w:t>
      </w:r>
      <w:r w:rsidR="00454609">
        <w:rPr>
          <w:b w:val="0"/>
          <w:sz w:val="20"/>
          <w:szCs w:val="20"/>
        </w:rPr>
        <w:t xml:space="preserve">čine </w:t>
      </w:r>
      <w:r w:rsidR="00454609" w:rsidRPr="00454609">
        <w:rPr>
          <w:b w:val="0"/>
          <w:sz w:val="20"/>
          <w:szCs w:val="20"/>
        </w:rPr>
        <w:t xml:space="preserve">Prihodi od prodaje proizvoda i robe te pruženih </w:t>
      </w:r>
      <w:r w:rsidR="008D443E">
        <w:rPr>
          <w:b w:val="0"/>
          <w:sz w:val="20"/>
          <w:szCs w:val="20"/>
        </w:rPr>
        <w:t>usluga o</w:t>
      </w:r>
      <w:r w:rsidR="00454609">
        <w:rPr>
          <w:b w:val="0"/>
          <w:sz w:val="20"/>
          <w:szCs w:val="20"/>
        </w:rPr>
        <w:t xml:space="preserve">stvareni u iznosu od </w:t>
      </w:r>
      <w:r w:rsidR="007A6848">
        <w:rPr>
          <w:b w:val="0"/>
          <w:sz w:val="20"/>
          <w:szCs w:val="20"/>
        </w:rPr>
        <w:t>2.578,00</w:t>
      </w:r>
      <w:r>
        <w:rPr>
          <w:b w:val="0"/>
          <w:sz w:val="20"/>
          <w:szCs w:val="20"/>
        </w:rPr>
        <w:t xml:space="preserve"> </w:t>
      </w:r>
      <w:r w:rsidR="00454609">
        <w:rPr>
          <w:b w:val="0"/>
          <w:sz w:val="20"/>
          <w:szCs w:val="20"/>
        </w:rPr>
        <w:t xml:space="preserve">eura što čini </w:t>
      </w:r>
      <w:r w:rsidR="007A6848">
        <w:rPr>
          <w:b w:val="0"/>
          <w:sz w:val="20"/>
          <w:szCs w:val="20"/>
        </w:rPr>
        <w:t>71,06</w:t>
      </w:r>
      <w:r w:rsidR="008D443E">
        <w:rPr>
          <w:b w:val="0"/>
          <w:sz w:val="20"/>
          <w:szCs w:val="20"/>
        </w:rPr>
        <w:t>% godišnjeg plana i 0,2</w:t>
      </w:r>
      <w:r w:rsidR="007A6848">
        <w:rPr>
          <w:b w:val="0"/>
          <w:sz w:val="20"/>
          <w:szCs w:val="20"/>
        </w:rPr>
        <w:t>3</w:t>
      </w:r>
      <w:r w:rsidR="00454609">
        <w:rPr>
          <w:b w:val="0"/>
          <w:sz w:val="20"/>
          <w:szCs w:val="20"/>
        </w:rPr>
        <w:t>% ukupno ostvarenih prihoda i primitaka Prorač</w:t>
      </w:r>
      <w:r>
        <w:rPr>
          <w:b w:val="0"/>
          <w:sz w:val="20"/>
          <w:szCs w:val="20"/>
        </w:rPr>
        <w:t>una.</w:t>
      </w:r>
      <w:r w:rsidR="008D443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Obuhvaćaju prihode od iznajmljivanja dvorane i prihode od </w:t>
      </w:r>
      <w:r w:rsidR="007A6848">
        <w:rPr>
          <w:b w:val="0"/>
          <w:sz w:val="20"/>
          <w:szCs w:val="20"/>
        </w:rPr>
        <w:t>prodaje starog papira</w:t>
      </w:r>
      <w:r>
        <w:rPr>
          <w:b w:val="0"/>
          <w:sz w:val="20"/>
          <w:szCs w:val="20"/>
        </w:rPr>
        <w:t>.</w:t>
      </w:r>
    </w:p>
    <w:p w:rsidR="0014513A" w:rsidRDefault="0014513A" w:rsidP="00454609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642247" w:rsidRDefault="0014513A" w:rsidP="00642247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642247">
        <w:rPr>
          <w:sz w:val="20"/>
          <w:szCs w:val="20"/>
        </w:rPr>
        <w:t>Prihodi iz nadležnog proračuna i od HZZO-a temeljem ugovornih obveza</w:t>
      </w:r>
      <w:r>
        <w:rPr>
          <w:b w:val="0"/>
          <w:sz w:val="20"/>
          <w:szCs w:val="20"/>
        </w:rPr>
        <w:t xml:space="preserve"> </w:t>
      </w:r>
      <w:r w:rsidR="00642247" w:rsidRPr="00642247">
        <w:rPr>
          <w:b w:val="0"/>
          <w:sz w:val="20"/>
          <w:szCs w:val="20"/>
        </w:rPr>
        <w:t>obuhvaćaju prihode za financiranje rashoda poslovanja te prihode za nabavu nefinancijske imovine.</w:t>
      </w:r>
      <w:r w:rsidR="00642247">
        <w:rPr>
          <w:sz w:val="20"/>
          <w:szCs w:val="20"/>
        </w:rPr>
        <w:t xml:space="preserve"> </w:t>
      </w:r>
      <w:r w:rsidR="00642247">
        <w:rPr>
          <w:b w:val="0"/>
          <w:sz w:val="20"/>
          <w:szCs w:val="20"/>
        </w:rPr>
        <w:t xml:space="preserve">Ostvareni su u iznosu od </w:t>
      </w:r>
      <w:r w:rsidR="005F3C0B">
        <w:rPr>
          <w:b w:val="0"/>
          <w:sz w:val="20"/>
          <w:szCs w:val="20"/>
        </w:rPr>
        <w:t>62.364,42</w:t>
      </w:r>
      <w:r w:rsidR="00642247">
        <w:rPr>
          <w:b w:val="0"/>
          <w:sz w:val="20"/>
          <w:szCs w:val="20"/>
        </w:rPr>
        <w:t xml:space="preserve"> eura što čini </w:t>
      </w:r>
      <w:r w:rsidR="005F3C0B">
        <w:rPr>
          <w:b w:val="0"/>
          <w:sz w:val="20"/>
          <w:szCs w:val="20"/>
        </w:rPr>
        <w:t>62,64</w:t>
      </w:r>
      <w:r w:rsidR="00642247">
        <w:rPr>
          <w:b w:val="0"/>
          <w:sz w:val="20"/>
          <w:szCs w:val="20"/>
        </w:rPr>
        <w:t xml:space="preserve">% godišnjeg plana i </w:t>
      </w:r>
      <w:r w:rsidR="007A68F4">
        <w:rPr>
          <w:b w:val="0"/>
          <w:sz w:val="20"/>
          <w:szCs w:val="20"/>
        </w:rPr>
        <w:t>5,6</w:t>
      </w:r>
      <w:r w:rsidR="005F3C0B">
        <w:rPr>
          <w:b w:val="0"/>
          <w:sz w:val="20"/>
          <w:szCs w:val="20"/>
        </w:rPr>
        <w:t>8</w:t>
      </w:r>
      <w:r w:rsidR="00642247">
        <w:rPr>
          <w:b w:val="0"/>
          <w:sz w:val="20"/>
          <w:szCs w:val="20"/>
        </w:rPr>
        <w:t>% ukupno ostvarenih prihoda i primitaka Proračuna unutar promatranog razdoblja.</w:t>
      </w:r>
    </w:p>
    <w:p w:rsidR="00292FC8" w:rsidRDefault="00292FC8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007250" w:rsidRDefault="00007250" w:rsidP="00642247">
      <w:pPr>
        <w:pStyle w:val="Naslov"/>
        <w:rPr>
          <w:b w:val="0"/>
          <w:sz w:val="20"/>
          <w:szCs w:val="20"/>
        </w:rPr>
      </w:pPr>
    </w:p>
    <w:p w:rsidR="00503AE2" w:rsidRDefault="00503AE2" w:rsidP="00642247">
      <w:pPr>
        <w:pStyle w:val="Naslov"/>
        <w:rPr>
          <w:b w:val="0"/>
          <w:sz w:val="20"/>
          <w:szCs w:val="20"/>
        </w:rPr>
      </w:pPr>
    </w:p>
    <w:tbl>
      <w:tblPr>
        <w:tblStyle w:val="Reetkatablice"/>
        <w:tblW w:w="0" w:type="auto"/>
        <w:tblInd w:w="236" w:type="dxa"/>
        <w:tblLook w:val="04A0" w:firstRow="1" w:lastRow="0" w:firstColumn="1" w:lastColumn="0" w:noHBand="0" w:noVBand="1"/>
      </w:tblPr>
      <w:tblGrid>
        <w:gridCol w:w="2235"/>
        <w:gridCol w:w="2185"/>
        <w:gridCol w:w="2204"/>
        <w:gridCol w:w="1357"/>
      </w:tblGrid>
      <w:tr w:rsidR="00503AE2" w:rsidTr="00881CA6">
        <w:tc>
          <w:tcPr>
            <w:tcW w:w="2235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sz w:val="20"/>
                <w:szCs w:val="20"/>
              </w:rPr>
              <w:t>Programi/projekti</w:t>
            </w:r>
          </w:p>
        </w:tc>
        <w:tc>
          <w:tcPr>
            <w:tcW w:w="2185" w:type="dxa"/>
            <w:vAlign w:val="center"/>
          </w:tcPr>
          <w:p w:rsidR="00503AE2" w:rsidRPr="00881CA6" w:rsidRDefault="00881CA6" w:rsidP="007A68F4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sz w:val="20"/>
                <w:szCs w:val="20"/>
              </w:rPr>
              <w:t>Tekući plan za 202</w:t>
            </w:r>
            <w:r w:rsidR="005A2988">
              <w:rPr>
                <w:sz w:val="20"/>
                <w:szCs w:val="20"/>
              </w:rPr>
              <w:t>5</w:t>
            </w:r>
            <w:r w:rsidRPr="00881CA6">
              <w:rPr>
                <w:sz w:val="20"/>
                <w:szCs w:val="20"/>
              </w:rPr>
              <w:t>. godinu</w:t>
            </w:r>
          </w:p>
        </w:tc>
        <w:tc>
          <w:tcPr>
            <w:tcW w:w="2204" w:type="dxa"/>
            <w:vAlign w:val="center"/>
          </w:tcPr>
          <w:p w:rsidR="00503AE2" w:rsidRPr="00881CA6" w:rsidRDefault="00881CA6" w:rsidP="005A2988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bCs w:val="0"/>
                <w:sz w:val="20"/>
                <w:szCs w:val="20"/>
              </w:rPr>
              <w:t xml:space="preserve">Ostvarenje </w:t>
            </w:r>
            <w:r w:rsidR="005A2988">
              <w:rPr>
                <w:bCs w:val="0"/>
                <w:sz w:val="20"/>
                <w:szCs w:val="20"/>
              </w:rPr>
              <w:t>30.06.2025. godine</w:t>
            </w:r>
          </w:p>
        </w:tc>
        <w:tc>
          <w:tcPr>
            <w:tcW w:w="1357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bCs w:val="0"/>
                <w:sz w:val="20"/>
                <w:szCs w:val="20"/>
              </w:rPr>
              <w:t>% ostvarenja</w:t>
            </w:r>
          </w:p>
        </w:tc>
      </w:tr>
      <w:tr w:rsidR="00881CA6" w:rsidTr="00881CA6">
        <w:tc>
          <w:tcPr>
            <w:tcW w:w="2235" w:type="dxa"/>
          </w:tcPr>
          <w:p w:rsidR="00881CA6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Izgradnja, rekonstrukcija i opremanje objekata osnovnog školstva</w:t>
            </w:r>
          </w:p>
        </w:tc>
        <w:tc>
          <w:tcPr>
            <w:tcW w:w="2185" w:type="dxa"/>
            <w:vAlign w:val="center"/>
          </w:tcPr>
          <w:p w:rsidR="00881CA6" w:rsidRDefault="00881CA6" w:rsidP="00292FC8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  <w:r w:rsidR="00292FC8">
              <w:rPr>
                <w:b w:val="0"/>
                <w:sz w:val="20"/>
                <w:szCs w:val="20"/>
              </w:rPr>
              <w:t>50</w:t>
            </w:r>
            <w:r w:rsidR="007A68F4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881CA6" w:rsidRDefault="00AD1C2C" w:rsidP="005F3C0B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  <w:r w:rsidR="005F3C0B">
              <w:rPr>
                <w:b w:val="0"/>
                <w:sz w:val="20"/>
                <w:szCs w:val="20"/>
              </w:rPr>
              <w:t>178,33</w:t>
            </w:r>
          </w:p>
        </w:tc>
        <w:tc>
          <w:tcPr>
            <w:tcW w:w="1357" w:type="dxa"/>
            <w:vAlign w:val="center"/>
          </w:tcPr>
          <w:p w:rsidR="00881CA6" w:rsidRDefault="005F3C0B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78,56</w:t>
            </w:r>
          </w:p>
        </w:tc>
      </w:tr>
      <w:tr w:rsidR="00503AE2" w:rsidTr="00881CA6">
        <w:tc>
          <w:tcPr>
            <w:tcW w:w="2235" w:type="dxa"/>
          </w:tcPr>
          <w:p w:rsidR="00503AE2" w:rsidRDefault="00503AE2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Opći troškovi</w:t>
            </w:r>
          </w:p>
        </w:tc>
        <w:tc>
          <w:tcPr>
            <w:tcW w:w="2185" w:type="dxa"/>
            <w:vAlign w:val="center"/>
          </w:tcPr>
          <w:p w:rsidR="00503AE2" w:rsidRDefault="00881CA6" w:rsidP="00292FC8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292FC8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>.</w:t>
            </w:r>
            <w:r w:rsidR="00292FC8">
              <w:rPr>
                <w:b w:val="0"/>
                <w:sz w:val="20"/>
                <w:szCs w:val="20"/>
              </w:rPr>
              <w:t>144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7B1371" w:rsidP="00CE47A4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</w:t>
            </w:r>
            <w:r w:rsidR="00CE47A4">
              <w:rPr>
                <w:b w:val="0"/>
                <w:sz w:val="20"/>
                <w:szCs w:val="20"/>
              </w:rPr>
              <w:t>197</w:t>
            </w:r>
            <w:r>
              <w:rPr>
                <w:b w:val="0"/>
                <w:sz w:val="20"/>
                <w:szCs w:val="20"/>
              </w:rPr>
              <w:t>,44</w:t>
            </w:r>
          </w:p>
        </w:tc>
        <w:tc>
          <w:tcPr>
            <w:tcW w:w="1357" w:type="dxa"/>
            <w:vAlign w:val="center"/>
          </w:tcPr>
          <w:p w:rsidR="00503AE2" w:rsidRDefault="00CE47A4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50,35</w:t>
            </w:r>
          </w:p>
        </w:tc>
      </w:tr>
      <w:tr w:rsidR="00503AE2" w:rsidTr="00881CA6">
        <w:tc>
          <w:tcPr>
            <w:tcW w:w="2235" w:type="dxa"/>
          </w:tcPr>
          <w:p w:rsidR="00503AE2" w:rsidRDefault="00503AE2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Stvarni troškovi</w:t>
            </w:r>
          </w:p>
        </w:tc>
        <w:tc>
          <w:tcPr>
            <w:tcW w:w="2185" w:type="dxa"/>
            <w:vAlign w:val="center"/>
          </w:tcPr>
          <w:p w:rsidR="00503AE2" w:rsidRDefault="00292FC8" w:rsidP="00292FC8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</w:t>
            </w:r>
            <w:r w:rsidR="007A68F4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694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7B1371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32.827,66</w:t>
            </w:r>
          </w:p>
        </w:tc>
        <w:tc>
          <w:tcPr>
            <w:tcW w:w="1357" w:type="dxa"/>
            <w:vAlign w:val="center"/>
          </w:tcPr>
          <w:p w:rsidR="00503AE2" w:rsidRDefault="00CE47A4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75,13</w:t>
            </w:r>
          </w:p>
        </w:tc>
      </w:tr>
      <w:tr w:rsidR="00503AE2" w:rsidTr="00881CA6">
        <w:tc>
          <w:tcPr>
            <w:tcW w:w="2235" w:type="dxa"/>
          </w:tcPr>
          <w:p w:rsidR="00503AE2" w:rsidRDefault="007A68F4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Sajam zanimanja</w:t>
            </w:r>
          </w:p>
        </w:tc>
        <w:tc>
          <w:tcPr>
            <w:tcW w:w="2185" w:type="dxa"/>
            <w:vAlign w:val="center"/>
          </w:tcPr>
          <w:p w:rsidR="00503AE2" w:rsidRDefault="007A68F4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153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5F3C0B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153,00</w:t>
            </w:r>
          </w:p>
        </w:tc>
        <w:tc>
          <w:tcPr>
            <w:tcW w:w="1357" w:type="dxa"/>
            <w:vAlign w:val="center"/>
          </w:tcPr>
          <w:p w:rsidR="00503AE2" w:rsidRDefault="005F3C0B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Sufinanciranje obvezne školske lektire</w:t>
            </w:r>
          </w:p>
        </w:tc>
        <w:tc>
          <w:tcPr>
            <w:tcW w:w="2185" w:type="dxa"/>
            <w:vAlign w:val="center"/>
          </w:tcPr>
          <w:p w:rsidR="00503AE2" w:rsidRDefault="00292FC8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325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5F3C0B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503AE2" w:rsidRDefault="005F3C0B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Školska shema</w:t>
            </w:r>
          </w:p>
        </w:tc>
        <w:tc>
          <w:tcPr>
            <w:tcW w:w="2185" w:type="dxa"/>
            <w:vAlign w:val="center"/>
          </w:tcPr>
          <w:p w:rsidR="00503AE2" w:rsidRDefault="00292FC8" w:rsidP="00292FC8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7A68F4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950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5F3C0B" w:rsidP="00CE47A4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  <w:r w:rsidR="00CE47A4">
              <w:rPr>
                <w:b w:val="0"/>
                <w:sz w:val="20"/>
                <w:szCs w:val="20"/>
              </w:rPr>
              <w:t>547,09</w:t>
            </w:r>
          </w:p>
        </w:tc>
        <w:tc>
          <w:tcPr>
            <w:tcW w:w="1357" w:type="dxa"/>
            <w:vAlign w:val="center"/>
          </w:tcPr>
          <w:p w:rsidR="00503AE2" w:rsidRDefault="005F3C0B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80,57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Učimo zajedno</w:t>
            </w:r>
          </w:p>
        </w:tc>
        <w:tc>
          <w:tcPr>
            <w:tcW w:w="2185" w:type="dxa"/>
            <w:vAlign w:val="center"/>
          </w:tcPr>
          <w:p w:rsidR="00503AE2" w:rsidRDefault="00292FC8" w:rsidP="00292FC8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7A68F4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8</w:t>
            </w:r>
            <w:r w:rsidR="007A68F4">
              <w:rPr>
                <w:b w:val="0"/>
                <w:sz w:val="20"/>
                <w:szCs w:val="20"/>
              </w:rPr>
              <w:t>00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5F3C0B" w:rsidP="007B1371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6.4</w:t>
            </w:r>
            <w:r w:rsidR="007B1371">
              <w:rPr>
                <w:b w:val="0"/>
                <w:sz w:val="20"/>
                <w:szCs w:val="20"/>
              </w:rPr>
              <w:t>60</w:t>
            </w:r>
            <w:r>
              <w:rPr>
                <w:b w:val="0"/>
                <w:sz w:val="20"/>
                <w:szCs w:val="20"/>
              </w:rPr>
              <w:t>,</w:t>
            </w:r>
            <w:r w:rsidR="007B1371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1357" w:type="dxa"/>
            <w:vAlign w:val="center"/>
          </w:tcPr>
          <w:p w:rsidR="00503AE2" w:rsidRDefault="005F3C0B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46,59</w:t>
            </w:r>
          </w:p>
        </w:tc>
      </w:tr>
      <w:tr w:rsidR="00503AE2" w:rsidTr="00881CA6">
        <w:tc>
          <w:tcPr>
            <w:tcW w:w="2235" w:type="dxa"/>
          </w:tcPr>
          <w:p w:rsidR="00503AE2" w:rsidRPr="00881CA6" w:rsidRDefault="00881CA6" w:rsidP="00642247">
            <w:pPr>
              <w:pStyle w:val="Naslov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2185" w:type="dxa"/>
            <w:vAlign w:val="center"/>
          </w:tcPr>
          <w:p w:rsidR="00503AE2" w:rsidRPr="00AD1C2C" w:rsidRDefault="00292FC8" w:rsidP="007A68F4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99.566</w:t>
            </w:r>
            <w:r w:rsidR="00AD1C2C" w:rsidRPr="00AD1C2C">
              <w:rPr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Pr="007442D2" w:rsidRDefault="005F3C0B" w:rsidP="003761A5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62.364,42</w:t>
            </w:r>
          </w:p>
        </w:tc>
        <w:tc>
          <w:tcPr>
            <w:tcW w:w="1357" w:type="dxa"/>
            <w:vAlign w:val="center"/>
          </w:tcPr>
          <w:p w:rsidR="00503AE2" w:rsidRPr="007442D2" w:rsidRDefault="005F3C0B" w:rsidP="00881CA6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62,64</w:t>
            </w:r>
          </w:p>
        </w:tc>
      </w:tr>
    </w:tbl>
    <w:p w:rsidR="00503AE2" w:rsidRDefault="00503AE2" w:rsidP="00642247">
      <w:pPr>
        <w:pStyle w:val="Naslov"/>
        <w:rPr>
          <w:b w:val="0"/>
          <w:sz w:val="20"/>
          <w:szCs w:val="20"/>
        </w:rPr>
      </w:pPr>
    </w:p>
    <w:p w:rsidR="0014513A" w:rsidRPr="00642247" w:rsidRDefault="00642247" w:rsidP="00642247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503AE2" w:rsidRDefault="00503AE2" w:rsidP="00801B9C">
      <w:pPr>
        <w:spacing w:before="166"/>
        <w:ind w:left="236"/>
        <w:rPr>
          <w:rFonts w:ascii="Calibri" w:hAnsi="Calibri"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007250" w:rsidRDefault="00007250" w:rsidP="00801B9C">
      <w:pPr>
        <w:spacing w:before="166"/>
        <w:ind w:left="236"/>
        <w:rPr>
          <w:rFonts w:ascii="Calibri" w:hAnsi="Calibri"/>
          <w:b/>
        </w:rPr>
      </w:pPr>
    </w:p>
    <w:p w:rsidR="00503AE2" w:rsidRDefault="00503AE2" w:rsidP="00801B9C">
      <w:pPr>
        <w:spacing w:before="166"/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RASHODI I IZDACI</w:t>
      </w:r>
    </w:p>
    <w:p w:rsidR="008E0748" w:rsidRDefault="008E0748" w:rsidP="00801B9C">
      <w:pPr>
        <w:spacing w:before="166"/>
        <w:ind w:left="236"/>
        <w:rPr>
          <w:rFonts w:ascii="Calibri" w:hAnsi="Calibri"/>
          <w:b/>
        </w:rPr>
      </w:pPr>
    </w:p>
    <w:p w:rsidR="008E0748" w:rsidRDefault="008E0748" w:rsidP="00CE47A4">
      <w:pPr>
        <w:pStyle w:val="Naslo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Rashodi i izdaci ostvareni</w:t>
      </w:r>
      <w:r w:rsidRPr="004B6A2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su u </w:t>
      </w:r>
      <w:r w:rsidRPr="004B6A22">
        <w:rPr>
          <w:b w:val="0"/>
          <w:spacing w:val="1"/>
          <w:sz w:val="22"/>
          <w:szCs w:val="22"/>
        </w:rPr>
        <w:t xml:space="preserve"> </w:t>
      </w:r>
      <w:r w:rsidRPr="004B6A22">
        <w:rPr>
          <w:b w:val="0"/>
          <w:sz w:val="22"/>
          <w:szCs w:val="22"/>
        </w:rPr>
        <w:t>ukupn</w:t>
      </w:r>
      <w:r>
        <w:rPr>
          <w:b w:val="0"/>
          <w:sz w:val="22"/>
          <w:szCs w:val="22"/>
        </w:rPr>
        <w:t>om</w:t>
      </w:r>
      <w:r w:rsidRPr="004B6A22">
        <w:rPr>
          <w:b w:val="0"/>
          <w:sz w:val="22"/>
          <w:szCs w:val="22"/>
        </w:rPr>
        <w:t xml:space="preserve"> u iznosu </w:t>
      </w:r>
      <w:r w:rsidR="00CE47A4">
        <w:rPr>
          <w:b w:val="0"/>
          <w:sz w:val="22"/>
          <w:szCs w:val="22"/>
        </w:rPr>
        <w:t>1.227.084,54</w:t>
      </w:r>
      <w:r w:rsidRPr="004B6A22">
        <w:rPr>
          <w:b w:val="0"/>
          <w:sz w:val="22"/>
          <w:szCs w:val="22"/>
        </w:rPr>
        <w:t xml:space="preserve"> eura što iznosi </w:t>
      </w:r>
      <w:r w:rsidR="00CE47A4">
        <w:rPr>
          <w:b w:val="0"/>
          <w:sz w:val="22"/>
          <w:szCs w:val="22"/>
        </w:rPr>
        <w:t>55,18</w:t>
      </w:r>
      <w:r w:rsidR="00844E85">
        <w:rPr>
          <w:b w:val="0"/>
          <w:sz w:val="22"/>
          <w:szCs w:val="22"/>
        </w:rPr>
        <w:t>%</w:t>
      </w:r>
      <w:r w:rsidRPr="004B6A22">
        <w:rPr>
          <w:b w:val="0"/>
          <w:sz w:val="22"/>
          <w:szCs w:val="22"/>
        </w:rPr>
        <w:t xml:space="preserve"> godišnjeg plana. </w:t>
      </w:r>
      <w:r>
        <w:rPr>
          <w:b w:val="0"/>
          <w:sz w:val="22"/>
          <w:szCs w:val="22"/>
        </w:rPr>
        <w:t xml:space="preserve">Od tog iznosa </w:t>
      </w:r>
      <w:r w:rsidR="00CE47A4">
        <w:rPr>
          <w:b w:val="0"/>
          <w:sz w:val="22"/>
          <w:szCs w:val="22"/>
        </w:rPr>
        <w:t>54.487,96</w:t>
      </w:r>
      <w:r>
        <w:rPr>
          <w:b w:val="0"/>
          <w:sz w:val="22"/>
          <w:szCs w:val="22"/>
        </w:rPr>
        <w:t xml:space="preserve"> eura odnosi se na </w:t>
      </w:r>
      <w:r w:rsidR="00844E85">
        <w:rPr>
          <w:b w:val="0"/>
          <w:sz w:val="22"/>
          <w:szCs w:val="22"/>
        </w:rPr>
        <w:t>rashode koji se financiraju</w:t>
      </w:r>
      <w:r>
        <w:rPr>
          <w:b w:val="0"/>
          <w:sz w:val="22"/>
          <w:szCs w:val="22"/>
        </w:rPr>
        <w:t xml:space="preserve"> iz Županijskog proračuna, a 1.</w:t>
      </w:r>
      <w:r w:rsidR="00CE47A4">
        <w:rPr>
          <w:b w:val="0"/>
          <w:sz w:val="22"/>
          <w:szCs w:val="22"/>
        </w:rPr>
        <w:t>172.596,58</w:t>
      </w:r>
      <w:r>
        <w:rPr>
          <w:b w:val="0"/>
          <w:sz w:val="22"/>
          <w:szCs w:val="22"/>
        </w:rPr>
        <w:t xml:space="preserve"> eura odnosi se na </w:t>
      </w:r>
      <w:r w:rsidR="00844E85">
        <w:rPr>
          <w:b w:val="0"/>
          <w:sz w:val="22"/>
          <w:szCs w:val="22"/>
        </w:rPr>
        <w:t>rashod</w:t>
      </w:r>
      <w:r>
        <w:rPr>
          <w:b w:val="0"/>
          <w:sz w:val="22"/>
          <w:szCs w:val="22"/>
        </w:rPr>
        <w:t xml:space="preserve">e </w:t>
      </w:r>
      <w:r w:rsidR="00844E85">
        <w:rPr>
          <w:b w:val="0"/>
          <w:sz w:val="22"/>
          <w:szCs w:val="22"/>
        </w:rPr>
        <w:t>koji se financiraju od</w:t>
      </w:r>
      <w:r>
        <w:rPr>
          <w:b w:val="0"/>
          <w:sz w:val="22"/>
          <w:szCs w:val="22"/>
        </w:rPr>
        <w:t xml:space="preserve"> subjekata izvan Županijskog proračuna, kako slijedi: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266"/>
        <w:gridCol w:w="1701"/>
        <w:gridCol w:w="2107"/>
        <w:gridCol w:w="1607"/>
      </w:tblGrid>
      <w:tr w:rsidR="00210C0B" w:rsidRPr="004F745F" w:rsidTr="00272C57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890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</w:t>
            </w:r>
            <w:r w:rsidRPr="004F745F">
              <w:rPr>
                <w:b/>
                <w:bCs/>
                <w:sz w:val="20"/>
                <w:szCs w:val="20"/>
              </w:rPr>
              <w:t>ODI/</w:t>
            </w:r>
            <w:r>
              <w:rPr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Županijski proračun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6.022,60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C554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1.070.437,28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DC0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C029C">
              <w:rPr>
                <w:sz w:val="20"/>
                <w:szCs w:val="20"/>
              </w:rPr>
              <w:t>076.459,88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DC0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05E0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287</w:t>
            </w:r>
            <w:r w:rsidR="00A905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100.456,68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147.743,71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A213D6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DC029C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715,86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DC029C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715,86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69482D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A213D6" w:rsidP="00DC0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C029C">
              <w:rPr>
                <w:sz w:val="20"/>
                <w:szCs w:val="20"/>
              </w:rPr>
              <w:t>178,33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986,76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6F08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2.165,09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DC02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54.487</w:t>
            </w:r>
            <w:r w:rsidR="00A213D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DC029C" w:rsidP="00A21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1.172.596,58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23558C" w:rsidP="00A21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1.227.084,54</w:t>
            </w:r>
          </w:p>
        </w:tc>
      </w:tr>
    </w:tbl>
    <w:p w:rsidR="00974D83" w:rsidRDefault="00974D83" w:rsidP="00974D83">
      <w:pPr>
        <w:pStyle w:val="Naslov"/>
        <w:rPr>
          <w:b w:val="0"/>
          <w:sz w:val="22"/>
          <w:szCs w:val="22"/>
        </w:rPr>
      </w:pPr>
    </w:p>
    <w:p w:rsidR="00844E85" w:rsidRDefault="00844E85" w:rsidP="00974D83">
      <w:pPr>
        <w:pStyle w:val="Naslov"/>
        <w:rPr>
          <w:b w:val="0"/>
          <w:sz w:val="22"/>
          <w:szCs w:val="22"/>
        </w:rPr>
      </w:pPr>
    </w:p>
    <w:p w:rsidR="00974D83" w:rsidRDefault="00974D83" w:rsidP="00974D83">
      <w:pPr>
        <w:pStyle w:val="Naslov"/>
        <w:rPr>
          <w:b w:val="0"/>
          <w:sz w:val="22"/>
          <w:szCs w:val="22"/>
        </w:rPr>
      </w:pPr>
      <w:r w:rsidRPr="0085445C">
        <w:rPr>
          <w:b w:val="0"/>
          <w:sz w:val="22"/>
          <w:szCs w:val="22"/>
        </w:rPr>
        <w:t>Ukupno ostva</w:t>
      </w:r>
      <w:r>
        <w:rPr>
          <w:b w:val="0"/>
          <w:sz w:val="22"/>
          <w:szCs w:val="22"/>
        </w:rPr>
        <w:t>reni prihodi i primici</w:t>
      </w:r>
      <w:r w:rsidRPr="0085445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Proračuna Osnovne škole Josipa Kozarca</w:t>
      </w:r>
      <w:r w:rsidRPr="0085445C">
        <w:rPr>
          <w:b w:val="0"/>
          <w:sz w:val="22"/>
          <w:szCs w:val="22"/>
        </w:rPr>
        <w:t xml:space="preserve"> u razdoblju od 1. siječnja do 3</w:t>
      </w:r>
      <w:r w:rsidR="00CE47A4">
        <w:rPr>
          <w:b w:val="0"/>
          <w:sz w:val="22"/>
          <w:szCs w:val="22"/>
        </w:rPr>
        <w:t>0</w:t>
      </w:r>
      <w:r w:rsidRPr="0085445C">
        <w:rPr>
          <w:b w:val="0"/>
          <w:sz w:val="22"/>
          <w:szCs w:val="22"/>
        </w:rPr>
        <w:t xml:space="preserve">. </w:t>
      </w:r>
      <w:r w:rsidR="00CE47A4">
        <w:rPr>
          <w:b w:val="0"/>
          <w:sz w:val="22"/>
          <w:szCs w:val="22"/>
        </w:rPr>
        <w:t>lipnj</w:t>
      </w:r>
      <w:r w:rsidRPr="0085445C">
        <w:rPr>
          <w:b w:val="0"/>
          <w:sz w:val="22"/>
          <w:szCs w:val="22"/>
        </w:rPr>
        <w:t>a 202</w:t>
      </w:r>
      <w:r w:rsidR="00CE47A4">
        <w:rPr>
          <w:b w:val="0"/>
          <w:sz w:val="22"/>
          <w:szCs w:val="22"/>
        </w:rPr>
        <w:t>5</w:t>
      </w:r>
      <w:r w:rsidRPr="0085445C">
        <w:rPr>
          <w:b w:val="0"/>
          <w:sz w:val="22"/>
          <w:szCs w:val="22"/>
        </w:rPr>
        <w:t>. godine po osnovnim skupinama iznose: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2976"/>
        <w:gridCol w:w="1422"/>
        <w:gridCol w:w="1641"/>
        <w:gridCol w:w="1266"/>
        <w:gridCol w:w="1376"/>
      </w:tblGrid>
      <w:tr w:rsidR="005A2988" w:rsidRPr="004F745F" w:rsidTr="00974D83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2988" w:rsidRPr="004F745F" w:rsidRDefault="005A2988" w:rsidP="005A2988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2988" w:rsidRPr="004F745F" w:rsidRDefault="005A2988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</w:t>
            </w:r>
            <w:r w:rsidRPr="004F745F">
              <w:rPr>
                <w:b/>
                <w:bCs/>
                <w:sz w:val="20"/>
                <w:szCs w:val="20"/>
              </w:rPr>
              <w:t>ODI/</w:t>
            </w:r>
            <w:r>
              <w:rPr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2988" w:rsidRPr="004F745F" w:rsidRDefault="005A2988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za 2025. godinu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2988" w:rsidRDefault="005A2988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</w:t>
            </w:r>
          </w:p>
          <w:p w:rsidR="005A2988" w:rsidRPr="004F745F" w:rsidRDefault="005A2988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30.06.2025 godine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A2988" w:rsidRPr="004F745F" w:rsidRDefault="005A2988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ostvarenja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2988" w:rsidRPr="004F745F" w:rsidRDefault="005A2988" w:rsidP="005A2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u ostvarenju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Rashodi za zaposlene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3558C" w:rsidP="003F24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1.951.069</w:t>
            </w:r>
            <w:r w:rsidR="002807E3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23558C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1.</w:t>
            </w:r>
            <w:r w:rsidR="0023558C">
              <w:rPr>
                <w:b/>
                <w:sz w:val="20"/>
                <w:szCs w:val="20"/>
              </w:rPr>
              <w:t>076.459,88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3C544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C5448" w:rsidP="000B55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87,72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Plaće (bruto)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235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3558C">
              <w:rPr>
                <w:sz w:val="20"/>
                <w:szCs w:val="20"/>
              </w:rPr>
              <w:t>624.043</w:t>
            </w:r>
            <w:r w:rsidR="003F24ED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C5448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900.704,73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73,40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3558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66.234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C5448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30.740,59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Doprinosi na plaće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3558C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260.792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145.014,56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3C5448" w:rsidP="0048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  <w:r w:rsidR="00486728">
              <w:rPr>
                <w:sz w:val="20"/>
                <w:szCs w:val="20"/>
              </w:rPr>
              <w:t>1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Materijalni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3558C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242.729</w:t>
            </w:r>
            <w:r w:rsidR="002807E3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72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147.743,71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633F09" w:rsidP="00633F0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3F2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E55" w:rsidP="004867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0B5587">
              <w:rPr>
                <w:b/>
                <w:sz w:val="20"/>
                <w:szCs w:val="20"/>
              </w:rPr>
              <w:t>,</w:t>
            </w:r>
            <w:r w:rsidR="00486728">
              <w:rPr>
                <w:b/>
                <w:sz w:val="20"/>
                <w:szCs w:val="20"/>
              </w:rPr>
              <w:t>0</w:t>
            </w:r>
            <w:r w:rsidR="000B5587">
              <w:rPr>
                <w:b/>
                <w:sz w:val="20"/>
                <w:szCs w:val="20"/>
              </w:rPr>
              <w:t>4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Naknade troškova zaposlenima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3558C" w:rsidP="00375A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86.526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C5448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51.294,41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728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4,18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materijal i energiju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3558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114.866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C5448" w:rsidP="00A029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78.651,70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448" w:rsidRPr="000B5587" w:rsidRDefault="003C5448" w:rsidP="003C54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E55" w:rsidP="0048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486728">
              <w:rPr>
                <w:sz w:val="20"/>
                <w:szCs w:val="20"/>
              </w:rPr>
              <w:t>61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usluge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3558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32.352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C5448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13.932,96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728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3558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8.985</w:t>
            </w:r>
            <w:r w:rsidR="00375ACC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C5448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3.864,64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486E55" w:rsidP="004867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486728">
              <w:rPr>
                <w:sz w:val="20"/>
                <w:szCs w:val="20"/>
              </w:rPr>
              <w:t>1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Financijski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3C5448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</w:t>
            </w:r>
            <w:r w:rsidR="003C544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3C544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0B5587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</w:t>
            </w:r>
            <w:r w:rsidR="000B5587">
              <w:rPr>
                <w:b/>
                <w:sz w:val="20"/>
                <w:szCs w:val="20"/>
              </w:rPr>
              <w:t>00</w:t>
            </w:r>
          </w:p>
        </w:tc>
      </w:tr>
      <w:tr w:rsidR="00A029B0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4F745F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 w:rsidRPr="00A029B0">
              <w:rPr>
                <w:sz w:val="20"/>
                <w:szCs w:val="20"/>
              </w:rPr>
              <w:t>Ostali financijski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75AC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3C54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C5448">
              <w:rPr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9B0" w:rsidRPr="00A029B0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CE491A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3558C" w:rsidP="002355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F24ED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050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C544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3C544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C544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029B0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3558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15.050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Default="00A029B0" w:rsidP="00890F05">
            <w:pPr>
              <w:jc w:val="right"/>
              <w:rPr>
                <w:sz w:val="20"/>
                <w:szCs w:val="20"/>
              </w:rPr>
            </w:pPr>
          </w:p>
          <w:p w:rsidR="00843EBB" w:rsidRPr="00A029B0" w:rsidRDefault="003C5448" w:rsidP="00890F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C5448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3F24ED" w:rsidP="00974D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3558C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C5448" w:rsidP="003F24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715,86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F24ED" w:rsidRDefault="003F24ED" w:rsidP="00890F05">
            <w:pPr>
              <w:jc w:val="right"/>
              <w:rPr>
                <w:b/>
                <w:sz w:val="20"/>
                <w:szCs w:val="20"/>
              </w:rPr>
            </w:pPr>
          </w:p>
          <w:p w:rsidR="003F24ED" w:rsidRDefault="003F24ED" w:rsidP="00890F05">
            <w:pPr>
              <w:jc w:val="right"/>
              <w:rPr>
                <w:b/>
                <w:sz w:val="20"/>
                <w:szCs w:val="20"/>
              </w:rPr>
            </w:pPr>
          </w:p>
          <w:p w:rsidR="00974D83" w:rsidRPr="000B5587" w:rsidRDefault="003C5448" w:rsidP="003F24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486E55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0,0</w:t>
            </w:r>
            <w:r w:rsidR="00486728">
              <w:rPr>
                <w:b/>
                <w:sz w:val="20"/>
                <w:szCs w:val="20"/>
              </w:rPr>
              <w:t>6</w:t>
            </w:r>
          </w:p>
        </w:tc>
      </w:tr>
      <w:tr w:rsidR="00A029B0" w:rsidRPr="00A029B0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Tekuće donacije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3558C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C5448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715,86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Pr="00A029B0" w:rsidRDefault="003C5448" w:rsidP="003F24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B795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6728">
              <w:rPr>
                <w:sz w:val="20"/>
                <w:szCs w:val="20"/>
              </w:rPr>
              <w:t>,06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2807E3" w:rsidRDefault="002807E3" w:rsidP="002807E3">
            <w:pPr>
              <w:rPr>
                <w:sz w:val="20"/>
                <w:szCs w:val="20"/>
              </w:rPr>
            </w:pPr>
            <w:r w:rsidRPr="002807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2807E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3558C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14.127</w:t>
            </w:r>
            <w:r w:rsidR="00890F05"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3C544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2.165,09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974D83" w:rsidRPr="000B5587" w:rsidRDefault="00974D83" w:rsidP="00974D83">
            <w:pPr>
              <w:jc w:val="right"/>
              <w:rPr>
                <w:b/>
                <w:sz w:val="20"/>
                <w:szCs w:val="20"/>
              </w:rPr>
            </w:pPr>
          </w:p>
          <w:p w:rsidR="00890F05" w:rsidRPr="000B5587" w:rsidRDefault="003C5448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486E55" w:rsidP="004867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486728">
              <w:rPr>
                <w:b/>
                <w:sz w:val="20"/>
                <w:szCs w:val="20"/>
              </w:rPr>
              <w:t>18</w:t>
            </w:r>
          </w:p>
        </w:tc>
      </w:tr>
      <w:tr w:rsidR="001661E2" w:rsidRPr="001661E2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1E2" w:rsidRPr="001661E2" w:rsidRDefault="001661E2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1E2" w:rsidRPr="001661E2" w:rsidRDefault="001661E2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Postrojenja i oprema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3C5448" w:rsidP="00235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9.518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2.165,09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1661E2" w:rsidRPr="001661E2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48672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</w:tr>
      <w:tr w:rsidR="00A029B0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2807E3" w:rsidRDefault="00A029B0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1661E2" w:rsidRDefault="001661E2" w:rsidP="00974D83">
            <w:pPr>
              <w:rPr>
                <w:sz w:val="20"/>
                <w:szCs w:val="20"/>
              </w:rPr>
            </w:pPr>
            <w:r w:rsidRPr="001661E2">
              <w:rPr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3C5448" w:rsidP="00843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4.609</w:t>
            </w:r>
            <w:r w:rsidR="00843EBB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Default="00A029B0" w:rsidP="00974D83">
            <w:pPr>
              <w:jc w:val="right"/>
              <w:rPr>
                <w:sz w:val="20"/>
                <w:szCs w:val="20"/>
              </w:rPr>
            </w:pPr>
          </w:p>
          <w:p w:rsidR="001661E2" w:rsidRPr="001661E2" w:rsidRDefault="003C5448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486E55" w:rsidP="003C54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C5448">
              <w:rPr>
                <w:sz w:val="20"/>
                <w:szCs w:val="20"/>
              </w:rPr>
              <w:t>00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4F745F" w:rsidRDefault="00890F05" w:rsidP="002355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23558C">
              <w:rPr>
                <w:b/>
                <w:bCs/>
                <w:sz w:val="20"/>
                <w:szCs w:val="20"/>
              </w:rPr>
              <w:t>223.678</w:t>
            </w:r>
            <w:r w:rsidR="00974D83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890F05" w:rsidRDefault="0023558C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1.227.084,54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74D83" w:rsidRDefault="0023558C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55,18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4F745F" w:rsidRDefault="00974D83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2B795B" w:rsidRDefault="002B795B" w:rsidP="002B795B">
      <w:pPr>
        <w:pStyle w:val="Naslov"/>
        <w:rPr>
          <w:sz w:val="20"/>
          <w:szCs w:val="20"/>
        </w:rPr>
      </w:pPr>
    </w:p>
    <w:p w:rsidR="008E0748" w:rsidRDefault="002B795B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  <w:t>Rashodi za zaposlene</w:t>
      </w:r>
      <w:r>
        <w:rPr>
          <w:b w:val="0"/>
          <w:sz w:val="20"/>
          <w:szCs w:val="20"/>
        </w:rPr>
        <w:t xml:space="preserve"> sastoje se od bruto plaća, ostalih rashoda za zaposlene i doprinosa na plaće. Tijekom godine ostvareni su u iznosu od </w:t>
      </w:r>
      <w:r w:rsidRPr="000B5587">
        <w:rPr>
          <w:b w:val="0"/>
          <w:sz w:val="20"/>
          <w:szCs w:val="20"/>
        </w:rPr>
        <w:t>1.</w:t>
      </w:r>
      <w:r w:rsidR="00486728">
        <w:rPr>
          <w:b w:val="0"/>
          <w:sz w:val="20"/>
          <w:szCs w:val="20"/>
        </w:rPr>
        <w:t>076.459,88</w:t>
      </w:r>
      <w:r>
        <w:rPr>
          <w:b w:val="0"/>
          <w:sz w:val="20"/>
          <w:szCs w:val="20"/>
        </w:rPr>
        <w:t xml:space="preserve"> eura što čini </w:t>
      </w:r>
      <w:r w:rsidR="00486728">
        <w:rPr>
          <w:b w:val="0"/>
          <w:sz w:val="20"/>
          <w:szCs w:val="20"/>
        </w:rPr>
        <w:t>55,17</w:t>
      </w:r>
      <w:r>
        <w:rPr>
          <w:b w:val="0"/>
          <w:sz w:val="20"/>
          <w:szCs w:val="20"/>
        </w:rPr>
        <w:t xml:space="preserve">% godišnjeg plana. Rashodi za zaposlene čine </w:t>
      </w:r>
      <w:r w:rsidR="00486728">
        <w:rPr>
          <w:b w:val="0"/>
          <w:sz w:val="20"/>
          <w:szCs w:val="20"/>
        </w:rPr>
        <w:t>87,72</w:t>
      </w:r>
      <w:r>
        <w:rPr>
          <w:b w:val="0"/>
          <w:sz w:val="20"/>
          <w:szCs w:val="20"/>
        </w:rPr>
        <w:t>% ukupno ostvarenih rashoda i izdataka Proračuna unutar promatranog razdoblja.</w:t>
      </w:r>
      <w:r w:rsidR="00BF3FC8">
        <w:rPr>
          <w:b w:val="0"/>
        </w:rPr>
        <w:tab/>
      </w:r>
      <w:r w:rsidR="00BF3FC8" w:rsidRPr="00BF3FC8">
        <w:rPr>
          <w:b w:val="0"/>
          <w:sz w:val="20"/>
          <w:szCs w:val="20"/>
        </w:rPr>
        <w:t>Bruto plaće</w:t>
      </w:r>
      <w:r w:rsidR="00BF3FC8">
        <w:rPr>
          <w:b w:val="0"/>
          <w:sz w:val="20"/>
          <w:szCs w:val="20"/>
        </w:rPr>
        <w:t xml:space="preserve"> sastoje se od plaća za redovan rad</w:t>
      </w:r>
      <w:r w:rsidR="0098584B">
        <w:rPr>
          <w:b w:val="0"/>
          <w:sz w:val="20"/>
          <w:szCs w:val="20"/>
        </w:rPr>
        <w:t xml:space="preserve"> (</w:t>
      </w:r>
      <w:r w:rsidR="00633F09">
        <w:rPr>
          <w:b w:val="0"/>
          <w:sz w:val="20"/>
          <w:szCs w:val="20"/>
        </w:rPr>
        <w:t>870.174,79</w:t>
      </w:r>
      <w:r w:rsidR="00432526" w:rsidRPr="0043252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 w:rsidR="00BF3FC8">
        <w:rPr>
          <w:b w:val="0"/>
          <w:sz w:val="20"/>
          <w:szCs w:val="20"/>
        </w:rPr>
        <w:t xml:space="preserve">, plaća za prekovremeni rad </w:t>
      </w:r>
      <w:r w:rsidR="0098584B">
        <w:rPr>
          <w:b w:val="0"/>
          <w:sz w:val="20"/>
          <w:szCs w:val="20"/>
        </w:rPr>
        <w:t>(</w:t>
      </w:r>
      <w:r w:rsidR="00633F09">
        <w:rPr>
          <w:b w:val="0"/>
          <w:sz w:val="20"/>
          <w:szCs w:val="20"/>
        </w:rPr>
        <w:t>4.563,62</w:t>
      </w:r>
      <w:r w:rsidR="00432526" w:rsidRPr="0043252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lastRenderedPageBreak/>
        <w:t xml:space="preserve">eura) </w:t>
      </w:r>
      <w:r w:rsidR="00BF3FC8">
        <w:rPr>
          <w:b w:val="0"/>
          <w:sz w:val="20"/>
          <w:szCs w:val="20"/>
        </w:rPr>
        <w:t>i plaća za posebne uvjete rada</w:t>
      </w:r>
      <w:r w:rsidR="0098584B">
        <w:rPr>
          <w:b w:val="0"/>
          <w:sz w:val="20"/>
          <w:szCs w:val="20"/>
        </w:rPr>
        <w:t xml:space="preserve"> (</w:t>
      </w:r>
      <w:r w:rsidR="00633F09">
        <w:rPr>
          <w:b w:val="0"/>
          <w:sz w:val="20"/>
          <w:szCs w:val="20"/>
        </w:rPr>
        <w:t>25.966,32</w:t>
      </w:r>
      <w:r w:rsidR="00432526" w:rsidRPr="0043252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 w:rsidR="00BF3FC8">
        <w:rPr>
          <w:b w:val="0"/>
          <w:sz w:val="20"/>
          <w:szCs w:val="20"/>
        </w:rPr>
        <w:t xml:space="preserve">. Iznose </w:t>
      </w:r>
      <w:r w:rsidR="00633F09">
        <w:rPr>
          <w:b w:val="0"/>
          <w:sz w:val="20"/>
          <w:szCs w:val="20"/>
        </w:rPr>
        <w:t>900.704,73</w:t>
      </w:r>
      <w:r w:rsidR="00BF3FC8">
        <w:rPr>
          <w:b w:val="0"/>
          <w:sz w:val="20"/>
          <w:szCs w:val="20"/>
        </w:rPr>
        <w:t xml:space="preserve"> eura što je </w:t>
      </w:r>
      <w:r w:rsidR="00633F09">
        <w:rPr>
          <w:b w:val="0"/>
          <w:sz w:val="20"/>
          <w:szCs w:val="20"/>
        </w:rPr>
        <w:t>55,46</w:t>
      </w:r>
      <w:r w:rsidR="00BF3FC8"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 w:rsidR="00BF3FC8">
        <w:rPr>
          <w:b w:val="0"/>
          <w:sz w:val="20"/>
          <w:szCs w:val="20"/>
        </w:rPr>
        <w:t>. Financiraju se iz državnog proračuna za plaće djelatnika, te iz županijskog proračuna za djelatnicu u sklopu projekta Učimo zajedno.</w:t>
      </w:r>
    </w:p>
    <w:p w:rsidR="00BF3FC8" w:rsidRDefault="00BF3FC8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>Ostale rashode</w:t>
      </w:r>
      <w:r w:rsidRPr="00BF3FC8">
        <w:rPr>
          <w:b w:val="0"/>
          <w:sz w:val="20"/>
          <w:szCs w:val="20"/>
        </w:rPr>
        <w:t xml:space="preserve"> za zaposlene</w:t>
      </w:r>
      <w:r>
        <w:rPr>
          <w:b w:val="0"/>
          <w:sz w:val="20"/>
          <w:szCs w:val="20"/>
        </w:rPr>
        <w:t xml:space="preserve"> čine nagrade</w:t>
      </w:r>
      <w:r w:rsidR="0098584B">
        <w:rPr>
          <w:b w:val="0"/>
          <w:sz w:val="20"/>
          <w:szCs w:val="20"/>
        </w:rPr>
        <w:t xml:space="preserve"> (</w:t>
      </w:r>
      <w:r w:rsidR="00633F09">
        <w:rPr>
          <w:b w:val="0"/>
          <w:sz w:val="20"/>
          <w:szCs w:val="20"/>
        </w:rPr>
        <w:t>8.972,25</w:t>
      </w:r>
      <w:r w:rsidR="00432526" w:rsidRPr="0043252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>, naknade za bolest, invalidnost i smrtni slučaj</w:t>
      </w:r>
      <w:r w:rsidR="0098584B">
        <w:rPr>
          <w:b w:val="0"/>
          <w:sz w:val="20"/>
          <w:szCs w:val="20"/>
        </w:rPr>
        <w:t xml:space="preserve"> (</w:t>
      </w:r>
      <w:r w:rsidR="00633F09">
        <w:rPr>
          <w:b w:val="0"/>
          <w:sz w:val="20"/>
          <w:szCs w:val="20"/>
        </w:rPr>
        <w:t>1.324,32</w:t>
      </w:r>
      <w:r w:rsidR="00432526" w:rsidRPr="0043252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 xml:space="preserve">, regres za godišnji </w:t>
      </w:r>
      <w:r w:rsidR="0098584B">
        <w:rPr>
          <w:b w:val="0"/>
          <w:sz w:val="20"/>
          <w:szCs w:val="20"/>
        </w:rPr>
        <w:t>(</w:t>
      </w:r>
      <w:r w:rsidR="00432526">
        <w:rPr>
          <w:b w:val="0"/>
          <w:sz w:val="20"/>
          <w:szCs w:val="20"/>
        </w:rPr>
        <w:t>20.</w:t>
      </w:r>
      <w:r w:rsidR="00633F09">
        <w:rPr>
          <w:b w:val="0"/>
          <w:sz w:val="20"/>
          <w:szCs w:val="20"/>
        </w:rPr>
        <w:t>1</w:t>
      </w:r>
      <w:r w:rsidR="00432526">
        <w:rPr>
          <w:b w:val="0"/>
          <w:sz w:val="20"/>
          <w:szCs w:val="20"/>
        </w:rPr>
        <w:t>00</w:t>
      </w:r>
      <w:r w:rsidR="0098584B">
        <w:rPr>
          <w:b w:val="0"/>
          <w:sz w:val="20"/>
          <w:szCs w:val="20"/>
        </w:rPr>
        <w:t>,</w:t>
      </w:r>
      <w:r w:rsidR="00432526">
        <w:rPr>
          <w:b w:val="0"/>
          <w:sz w:val="20"/>
          <w:szCs w:val="20"/>
        </w:rPr>
        <w:t>00</w:t>
      </w:r>
      <w:r w:rsidR="0098584B">
        <w:rPr>
          <w:b w:val="0"/>
          <w:sz w:val="20"/>
          <w:szCs w:val="20"/>
        </w:rPr>
        <w:t xml:space="preserve"> eura) </w:t>
      </w:r>
      <w:r>
        <w:rPr>
          <w:b w:val="0"/>
          <w:sz w:val="20"/>
          <w:szCs w:val="20"/>
        </w:rPr>
        <w:t>i ostali nenavedeni rashodi za zaposlene</w:t>
      </w:r>
      <w:r w:rsidR="0098584B">
        <w:rPr>
          <w:b w:val="0"/>
          <w:sz w:val="20"/>
          <w:szCs w:val="20"/>
        </w:rPr>
        <w:t xml:space="preserve"> (</w:t>
      </w:r>
      <w:r w:rsidR="00633F09">
        <w:rPr>
          <w:b w:val="0"/>
          <w:sz w:val="20"/>
          <w:szCs w:val="20"/>
        </w:rPr>
        <w:t>344,02</w:t>
      </w:r>
      <w:r w:rsidR="0098584B">
        <w:rPr>
          <w:b w:val="0"/>
          <w:sz w:val="20"/>
          <w:szCs w:val="20"/>
        </w:rPr>
        <w:t xml:space="preserve"> eura)</w:t>
      </w:r>
      <w:r>
        <w:rPr>
          <w:b w:val="0"/>
          <w:sz w:val="20"/>
          <w:szCs w:val="20"/>
        </w:rPr>
        <w:t xml:space="preserve">. Ostvareni su u </w:t>
      </w:r>
      <w:r w:rsidR="0098584B">
        <w:rPr>
          <w:b w:val="0"/>
          <w:sz w:val="20"/>
          <w:szCs w:val="20"/>
        </w:rPr>
        <w:t xml:space="preserve">ukupnom </w:t>
      </w:r>
      <w:r>
        <w:rPr>
          <w:b w:val="0"/>
          <w:sz w:val="20"/>
          <w:szCs w:val="20"/>
        </w:rPr>
        <w:t xml:space="preserve">iznosu od </w:t>
      </w:r>
      <w:r w:rsidR="00633F09">
        <w:rPr>
          <w:b w:val="0"/>
          <w:sz w:val="20"/>
          <w:szCs w:val="20"/>
        </w:rPr>
        <w:t>30.740,59</w:t>
      </w:r>
      <w:r>
        <w:rPr>
          <w:b w:val="0"/>
          <w:sz w:val="20"/>
          <w:szCs w:val="20"/>
        </w:rPr>
        <w:t xml:space="preserve"> što je </w:t>
      </w:r>
      <w:r w:rsidR="00633F09">
        <w:rPr>
          <w:b w:val="0"/>
          <w:sz w:val="20"/>
          <w:szCs w:val="20"/>
        </w:rPr>
        <w:t>46,41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</w:t>
      </w:r>
    </w:p>
    <w:p w:rsidR="00BF3FC8" w:rsidRDefault="00BF3FC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Doprinosi na plaće odnose se na doprinose za obvezno zdravstveno osiguranje, a iznose </w:t>
      </w:r>
      <w:r w:rsidR="00633F09">
        <w:rPr>
          <w:b w:val="0"/>
          <w:sz w:val="20"/>
          <w:szCs w:val="20"/>
        </w:rPr>
        <w:t xml:space="preserve">145.014,56 eura </w:t>
      </w:r>
      <w:r>
        <w:rPr>
          <w:b w:val="0"/>
          <w:sz w:val="20"/>
          <w:szCs w:val="20"/>
        </w:rPr>
        <w:t xml:space="preserve">što je </w:t>
      </w:r>
      <w:r w:rsidR="00633F09">
        <w:rPr>
          <w:b w:val="0"/>
          <w:sz w:val="20"/>
          <w:szCs w:val="20"/>
        </w:rPr>
        <w:t>55,61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091D98">
        <w:rPr>
          <w:sz w:val="20"/>
          <w:szCs w:val="20"/>
        </w:rPr>
        <w:t>Materijalni rashodi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obuhvaćaju naknade troškova zaposlenima</w:t>
      </w:r>
      <w:r w:rsidR="0098584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, rashode za materija</w:t>
      </w:r>
      <w:r w:rsidR="00432526">
        <w:rPr>
          <w:b w:val="0"/>
          <w:sz w:val="20"/>
          <w:szCs w:val="20"/>
        </w:rPr>
        <w:t>l i energiju, rashode za usluge</w:t>
      </w:r>
      <w:r>
        <w:rPr>
          <w:b w:val="0"/>
          <w:sz w:val="20"/>
          <w:szCs w:val="20"/>
        </w:rPr>
        <w:t xml:space="preserve"> te ostale nespomenute rashode poslovanja. Iznose </w:t>
      </w:r>
      <w:r w:rsidR="00633F09">
        <w:rPr>
          <w:b w:val="0"/>
          <w:sz w:val="20"/>
          <w:szCs w:val="20"/>
        </w:rPr>
        <w:t>147.743,71</w:t>
      </w:r>
      <w:r>
        <w:rPr>
          <w:b w:val="0"/>
          <w:sz w:val="20"/>
          <w:szCs w:val="20"/>
        </w:rPr>
        <w:t xml:space="preserve"> eura što je </w:t>
      </w:r>
      <w:r w:rsidR="00633F09">
        <w:rPr>
          <w:b w:val="0"/>
          <w:sz w:val="20"/>
          <w:szCs w:val="20"/>
        </w:rPr>
        <w:t>60,87</w:t>
      </w:r>
      <w:r>
        <w:rPr>
          <w:b w:val="0"/>
          <w:sz w:val="20"/>
          <w:szCs w:val="20"/>
        </w:rPr>
        <w:t xml:space="preserve">% godišnjeg plana, odnosno </w:t>
      </w:r>
      <w:r w:rsidR="00633F09">
        <w:rPr>
          <w:b w:val="0"/>
          <w:sz w:val="20"/>
          <w:szCs w:val="20"/>
        </w:rPr>
        <w:t>12,04</w:t>
      </w:r>
      <w:r>
        <w:rPr>
          <w:b w:val="0"/>
          <w:sz w:val="20"/>
          <w:szCs w:val="20"/>
        </w:rPr>
        <w:t>% ukupno ostvarenih rashoda i izdataka Proračuna.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091D98">
        <w:rPr>
          <w:b w:val="0"/>
          <w:sz w:val="20"/>
          <w:szCs w:val="20"/>
        </w:rPr>
        <w:t>Naknade troškova zaposlenima</w:t>
      </w:r>
      <w:r>
        <w:rPr>
          <w:b w:val="0"/>
          <w:sz w:val="20"/>
          <w:szCs w:val="20"/>
        </w:rPr>
        <w:t xml:space="preserve"> iznose </w:t>
      </w:r>
      <w:r w:rsidR="00633F09">
        <w:rPr>
          <w:b w:val="0"/>
          <w:sz w:val="20"/>
          <w:szCs w:val="20"/>
        </w:rPr>
        <w:t>51.294,41</w:t>
      </w:r>
      <w:r>
        <w:rPr>
          <w:b w:val="0"/>
          <w:sz w:val="20"/>
          <w:szCs w:val="20"/>
        </w:rPr>
        <w:t xml:space="preserve"> eura što čini </w:t>
      </w:r>
      <w:r w:rsidR="00633F09">
        <w:rPr>
          <w:b w:val="0"/>
          <w:sz w:val="20"/>
          <w:szCs w:val="20"/>
        </w:rPr>
        <w:t>59,28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. </w:t>
      </w:r>
      <w:r w:rsidRPr="00091D98">
        <w:rPr>
          <w:b w:val="0"/>
          <w:sz w:val="20"/>
          <w:szCs w:val="20"/>
        </w:rPr>
        <w:t>Naknade troškova zaposlenima</w:t>
      </w:r>
      <w:r>
        <w:rPr>
          <w:b w:val="0"/>
          <w:sz w:val="20"/>
          <w:szCs w:val="20"/>
        </w:rPr>
        <w:t xml:space="preserve"> obuhvaćaju troškove za službena putovanja</w:t>
      </w:r>
      <w:r w:rsidR="0098584B">
        <w:rPr>
          <w:b w:val="0"/>
          <w:sz w:val="20"/>
          <w:szCs w:val="20"/>
        </w:rPr>
        <w:t xml:space="preserve"> (</w:t>
      </w:r>
      <w:r w:rsidR="00633F09">
        <w:rPr>
          <w:b w:val="0"/>
          <w:sz w:val="20"/>
          <w:szCs w:val="20"/>
        </w:rPr>
        <w:t>2.673,35</w:t>
      </w:r>
      <w:r w:rsidR="002B71B6" w:rsidRPr="002B71B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>, naknade za prijevoz na posao i s posla</w:t>
      </w:r>
      <w:r w:rsidR="0098584B">
        <w:rPr>
          <w:b w:val="0"/>
          <w:sz w:val="20"/>
          <w:szCs w:val="20"/>
        </w:rPr>
        <w:t xml:space="preserve"> (</w:t>
      </w:r>
      <w:r w:rsidR="00633F09">
        <w:rPr>
          <w:b w:val="0"/>
          <w:sz w:val="20"/>
          <w:szCs w:val="20"/>
        </w:rPr>
        <w:t>43.678,17</w:t>
      </w:r>
      <w:r w:rsidR="002B71B6" w:rsidRPr="002B71B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 xml:space="preserve">, </w:t>
      </w:r>
      <w:r w:rsidR="002B71B6">
        <w:rPr>
          <w:b w:val="0"/>
          <w:sz w:val="20"/>
          <w:szCs w:val="20"/>
        </w:rPr>
        <w:t>naknade za neiskorišteni godišnji odmor (</w:t>
      </w:r>
      <w:r w:rsidR="00D41CD7">
        <w:rPr>
          <w:b w:val="0"/>
          <w:sz w:val="20"/>
          <w:szCs w:val="20"/>
        </w:rPr>
        <w:t>3.830,89</w:t>
      </w:r>
      <w:r w:rsidR="002B71B6">
        <w:rPr>
          <w:b w:val="0"/>
          <w:sz w:val="20"/>
          <w:szCs w:val="20"/>
        </w:rPr>
        <w:t xml:space="preserve"> eura)</w:t>
      </w:r>
      <w:r w:rsidR="0098584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i naknade korištenja osobnog automobila u službene svrhe</w:t>
      </w:r>
      <w:r w:rsidR="0098584B">
        <w:rPr>
          <w:b w:val="0"/>
          <w:sz w:val="20"/>
          <w:szCs w:val="20"/>
        </w:rPr>
        <w:t xml:space="preserve"> (</w:t>
      </w:r>
      <w:r w:rsidR="00D41CD7">
        <w:rPr>
          <w:b w:val="0"/>
          <w:sz w:val="20"/>
          <w:szCs w:val="20"/>
        </w:rPr>
        <w:t>1.112,00</w:t>
      </w:r>
      <w:r w:rsidR="002B71B6" w:rsidRPr="002B71B6">
        <w:rPr>
          <w:b w:val="0"/>
          <w:sz w:val="20"/>
          <w:szCs w:val="20"/>
        </w:rPr>
        <w:t xml:space="preserve"> </w:t>
      </w:r>
      <w:r w:rsidR="0098584B">
        <w:rPr>
          <w:b w:val="0"/>
          <w:sz w:val="20"/>
          <w:szCs w:val="20"/>
        </w:rPr>
        <w:t>eura)</w:t>
      </w:r>
      <w:r>
        <w:rPr>
          <w:b w:val="0"/>
          <w:sz w:val="20"/>
          <w:szCs w:val="20"/>
        </w:rPr>
        <w:t>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Rashodi za materijal i energiju ostvareni su u iznosu od  </w:t>
      </w:r>
      <w:r w:rsidR="00D41CD7" w:rsidRPr="00D41CD7">
        <w:rPr>
          <w:b w:val="0"/>
          <w:sz w:val="20"/>
          <w:szCs w:val="20"/>
        </w:rPr>
        <w:t>78.651,70</w:t>
      </w:r>
      <w:r w:rsidR="00D41CD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D41CD7">
        <w:rPr>
          <w:b w:val="0"/>
          <w:sz w:val="20"/>
          <w:szCs w:val="20"/>
        </w:rPr>
        <w:t>68,47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. Sastoje se od </w:t>
      </w:r>
      <w:r w:rsidR="0098584B">
        <w:rPr>
          <w:b w:val="0"/>
          <w:sz w:val="20"/>
          <w:szCs w:val="20"/>
        </w:rPr>
        <w:t xml:space="preserve">rashoda za </w:t>
      </w:r>
      <w:r w:rsidR="00272C57">
        <w:rPr>
          <w:b w:val="0"/>
          <w:sz w:val="20"/>
          <w:szCs w:val="20"/>
        </w:rPr>
        <w:t>uredski materijal (</w:t>
      </w:r>
      <w:r w:rsidR="00D41CD7">
        <w:rPr>
          <w:b w:val="0"/>
          <w:sz w:val="20"/>
          <w:szCs w:val="20"/>
        </w:rPr>
        <w:t>8.951,51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 xml:space="preserve">eura), </w:t>
      </w:r>
      <w:r w:rsidR="0098584B">
        <w:rPr>
          <w:b w:val="0"/>
          <w:sz w:val="20"/>
          <w:szCs w:val="20"/>
        </w:rPr>
        <w:t>namirnice za kuhinju</w:t>
      </w:r>
      <w:r w:rsidR="00272C57">
        <w:rPr>
          <w:b w:val="0"/>
          <w:sz w:val="20"/>
          <w:szCs w:val="20"/>
        </w:rPr>
        <w:t xml:space="preserve"> (</w:t>
      </w:r>
      <w:r w:rsidR="00D41CD7">
        <w:rPr>
          <w:b w:val="0"/>
          <w:sz w:val="20"/>
          <w:szCs w:val="20"/>
        </w:rPr>
        <w:t>45.933,42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98584B">
        <w:rPr>
          <w:b w:val="0"/>
          <w:sz w:val="20"/>
          <w:szCs w:val="20"/>
        </w:rPr>
        <w:t>, energente</w:t>
      </w:r>
      <w:r w:rsidR="00272C57">
        <w:rPr>
          <w:b w:val="0"/>
          <w:sz w:val="20"/>
          <w:szCs w:val="20"/>
        </w:rPr>
        <w:t xml:space="preserve"> (</w:t>
      </w:r>
      <w:r w:rsidR="00D41CD7">
        <w:rPr>
          <w:b w:val="0"/>
          <w:sz w:val="20"/>
          <w:szCs w:val="20"/>
        </w:rPr>
        <w:t>20.556,98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98584B">
        <w:rPr>
          <w:b w:val="0"/>
          <w:sz w:val="20"/>
          <w:szCs w:val="20"/>
        </w:rPr>
        <w:t>, materijal i dijelove  za tekuće i investicijsko održavanje opreme, postrojenja i građevniskih objekata</w:t>
      </w:r>
      <w:r w:rsidR="00272C57">
        <w:rPr>
          <w:b w:val="0"/>
          <w:sz w:val="20"/>
          <w:szCs w:val="20"/>
        </w:rPr>
        <w:t xml:space="preserve"> (</w:t>
      </w:r>
      <w:r w:rsidR="00D41CD7">
        <w:rPr>
          <w:b w:val="0"/>
          <w:sz w:val="20"/>
          <w:szCs w:val="20"/>
        </w:rPr>
        <w:t>2.386,20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98584B">
        <w:rPr>
          <w:b w:val="0"/>
          <w:sz w:val="20"/>
          <w:szCs w:val="20"/>
        </w:rPr>
        <w:t>, sitan inventar</w:t>
      </w:r>
      <w:r w:rsidR="00272C57">
        <w:rPr>
          <w:b w:val="0"/>
          <w:sz w:val="20"/>
          <w:szCs w:val="20"/>
        </w:rPr>
        <w:t xml:space="preserve"> (</w:t>
      </w:r>
      <w:r w:rsidR="00D41CD7">
        <w:rPr>
          <w:b w:val="0"/>
          <w:sz w:val="20"/>
          <w:szCs w:val="20"/>
        </w:rPr>
        <w:t>472,34</w:t>
      </w:r>
      <w:r w:rsidR="002B71B6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</w:t>
      </w:r>
      <w:r w:rsidR="00D41CD7">
        <w:rPr>
          <w:b w:val="0"/>
          <w:sz w:val="20"/>
          <w:szCs w:val="20"/>
        </w:rPr>
        <w:t xml:space="preserve"> i službenu, radnu i zaštitnu odjeću i obuću (351,25 eura)</w:t>
      </w:r>
      <w:r w:rsidR="0098584B">
        <w:rPr>
          <w:b w:val="0"/>
          <w:sz w:val="20"/>
          <w:szCs w:val="20"/>
        </w:rPr>
        <w:t>.</w:t>
      </w:r>
    </w:p>
    <w:p w:rsidR="0098584B" w:rsidRDefault="0098584B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Rashodi za usluge</w:t>
      </w:r>
      <w:r w:rsidR="00272C57">
        <w:rPr>
          <w:b w:val="0"/>
          <w:sz w:val="20"/>
          <w:szCs w:val="20"/>
        </w:rPr>
        <w:t xml:space="preserve"> ostvareni su u iznosu od  </w:t>
      </w:r>
      <w:r w:rsidR="00D41CD7">
        <w:rPr>
          <w:b w:val="0"/>
          <w:sz w:val="20"/>
          <w:szCs w:val="20"/>
        </w:rPr>
        <w:t>13.932,96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 xml:space="preserve">eura što čini </w:t>
      </w:r>
      <w:r w:rsidR="00D41CD7">
        <w:rPr>
          <w:b w:val="0"/>
          <w:sz w:val="20"/>
          <w:szCs w:val="20"/>
        </w:rPr>
        <w:t>43,07</w:t>
      </w:r>
      <w:r w:rsidR="00272C57">
        <w:rPr>
          <w:b w:val="0"/>
          <w:sz w:val="20"/>
          <w:szCs w:val="20"/>
        </w:rPr>
        <w:t>% godišnjeg proračuna. Obuhvaćaju usluge telefona, pošte i prijevoza (</w:t>
      </w:r>
      <w:r w:rsidR="0018266E" w:rsidRPr="0018266E">
        <w:rPr>
          <w:b w:val="0"/>
          <w:sz w:val="20"/>
          <w:szCs w:val="20"/>
        </w:rPr>
        <w:t>3.</w:t>
      </w:r>
      <w:r w:rsidR="00D41CD7">
        <w:rPr>
          <w:b w:val="0"/>
          <w:sz w:val="20"/>
          <w:szCs w:val="20"/>
        </w:rPr>
        <w:t>926,14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usluge tekućeg i investi</w:t>
      </w:r>
      <w:r w:rsidR="00D41CD7">
        <w:rPr>
          <w:b w:val="0"/>
          <w:sz w:val="20"/>
          <w:szCs w:val="20"/>
        </w:rPr>
        <w:t>ci</w:t>
      </w:r>
      <w:r w:rsidR="00272C57">
        <w:rPr>
          <w:b w:val="0"/>
          <w:sz w:val="20"/>
          <w:szCs w:val="20"/>
        </w:rPr>
        <w:t>jskog održava</w:t>
      </w:r>
      <w:r w:rsidR="00D41CD7">
        <w:rPr>
          <w:b w:val="0"/>
          <w:sz w:val="20"/>
          <w:szCs w:val="20"/>
        </w:rPr>
        <w:t>nja</w:t>
      </w:r>
      <w:r w:rsidR="00272C57">
        <w:rPr>
          <w:b w:val="0"/>
          <w:sz w:val="20"/>
          <w:szCs w:val="20"/>
        </w:rPr>
        <w:t xml:space="preserve"> (</w:t>
      </w:r>
      <w:r w:rsidR="00D41CD7">
        <w:rPr>
          <w:b w:val="0"/>
          <w:sz w:val="20"/>
          <w:szCs w:val="20"/>
        </w:rPr>
        <w:t>2.970,54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usluge promidžbe i informiranja (</w:t>
      </w:r>
      <w:r w:rsidR="00D41CD7">
        <w:rPr>
          <w:b w:val="0"/>
          <w:sz w:val="20"/>
          <w:szCs w:val="20"/>
        </w:rPr>
        <w:t>63,72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komunalne usluge (</w:t>
      </w:r>
      <w:r w:rsidR="00D41CD7">
        <w:rPr>
          <w:b w:val="0"/>
          <w:sz w:val="20"/>
          <w:szCs w:val="20"/>
        </w:rPr>
        <w:t>3.367,32</w:t>
      </w:r>
      <w:r w:rsidR="00272C57">
        <w:rPr>
          <w:b w:val="0"/>
          <w:sz w:val="20"/>
          <w:szCs w:val="20"/>
        </w:rPr>
        <w:t xml:space="preserve"> eura), zakupnine i najamnine (</w:t>
      </w:r>
      <w:r w:rsidR="0018266E" w:rsidRPr="0018266E">
        <w:rPr>
          <w:b w:val="0"/>
          <w:sz w:val="20"/>
          <w:szCs w:val="20"/>
        </w:rPr>
        <w:t>407,65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zdravstvene usluge (</w:t>
      </w:r>
      <w:r w:rsidR="00D41CD7">
        <w:rPr>
          <w:b w:val="0"/>
          <w:sz w:val="20"/>
          <w:szCs w:val="20"/>
        </w:rPr>
        <w:t>284,41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intelektualne i osobne usluge (</w:t>
      </w:r>
      <w:r w:rsidR="00D41CD7">
        <w:rPr>
          <w:b w:val="0"/>
          <w:sz w:val="20"/>
          <w:szCs w:val="20"/>
        </w:rPr>
        <w:t>402,50</w:t>
      </w:r>
      <w:r w:rsidR="0018266E">
        <w:rPr>
          <w:b w:val="0"/>
          <w:sz w:val="20"/>
          <w:szCs w:val="20"/>
        </w:rPr>
        <w:t xml:space="preserve"> </w:t>
      </w:r>
      <w:r w:rsidR="00272C57">
        <w:rPr>
          <w:b w:val="0"/>
          <w:sz w:val="20"/>
          <w:szCs w:val="20"/>
        </w:rPr>
        <w:t>eura), računalne usluge (</w:t>
      </w:r>
      <w:r w:rsidR="00D41CD7">
        <w:rPr>
          <w:b w:val="0"/>
          <w:sz w:val="20"/>
          <w:szCs w:val="20"/>
        </w:rPr>
        <w:t>1.573,18</w:t>
      </w:r>
      <w:r w:rsidR="0018266E">
        <w:rPr>
          <w:b w:val="0"/>
          <w:sz w:val="20"/>
          <w:szCs w:val="20"/>
        </w:rPr>
        <w:t xml:space="preserve"> </w:t>
      </w:r>
      <w:r w:rsidR="00CE491A">
        <w:rPr>
          <w:b w:val="0"/>
          <w:sz w:val="20"/>
          <w:szCs w:val="20"/>
        </w:rPr>
        <w:t>eura) i ostale usluge (</w:t>
      </w:r>
      <w:r w:rsidR="00D41CD7">
        <w:rPr>
          <w:b w:val="0"/>
          <w:sz w:val="20"/>
          <w:szCs w:val="20"/>
        </w:rPr>
        <w:t>937</w:t>
      </w:r>
      <w:r w:rsidR="0018266E" w:rsidRPr="0018266E">
        <w:rPr>
          <w:b w:val="0"/>
          <w:sz w:val="20"/>
          <w:szCs w:val="20"/>
        </w:rPr>
        <w:t>,50</w:t>
      </w:r>
      <w:r w:rsidR="0018266E">
        <w:rPr>
          <w:b w:val="0"/>
          <w:sz w:val="20"/>
          <w:szCs w:val="20"/>
        </w:rPr>
        <w:t xml:space="preserve"> </w:t>
      </w:r>
      <w:r w:rsidR="00CE491A">
        <w:rPr>
          <w:b w:val="0"/>
          <w:sz w:val="20"/>
          <w:szCs w:val="20"/>
        </w:rPr>
        <w:t>eura).</w:t>
      </w:r>
    </w:p>
    <w:p w:rsidR="00CE491A" w:rsidRDefault="00CE491A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E491A">
        <w:rPr>
          <w:b w:val="0"/>
          <w:sz w:val="20"/>
          <w:szCs w:val="20"/>
        </w:rPr>
        <w:t>Ostali nespomenuti rashodi poslovanja</w:t>
      </w:r>
      <w:r>
        <w:rPr>
          <w:b w:val="0"/>
          <w:sz w:val="20"/>
          <w:szCs w:val="20"/>
        </w:rPr>
        <w:t xml:space="preserve"> iznose </w:t>
      </w:r>
      <w:r w:rsidR="00D41CD7">
        <w:rPr>
          <w:b w:val="0"/>
          <w:sz w:val="20"/>
          <w:szCs w:val="20"/>
        </w:rPr>
        <w:t>3.864,64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D41CD7">
        <w:rPr>
          <w:b w:val="0"/>
          <w:sz w:val="20"/>
          <w:szCs w:val="20"/>
        </w:rPr>
        <w:t>43,01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 Obuhvaćaju reprezentaciju (</w:t>
      </w:r>
      <w:r w:rsidR="00CD16DA">
        <w:rPr>
          <w:b w:val="0"/>
          <w:sz w:val="20"/>
          <w:szCs w:val="20"/>
        </w:rPr>
        <w:t>524,24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eura), članarine (1</w:t>
      </w:r>
      <w:r w:rsidR="00CD16DA">
        <w:rPr>
          <w:b w:val="0"/>
          <w:sz w:val="20"/>
          <w:szCs w:val="20"/>
        </w:rPr>
        <w:t>25</w:t>
      </w:r>
      <w:r>
        <w:rPr>
          <w:b w:val="0"/>
          <w:sz w:val="20"/>
          <w:szCs w:val="20"/>
        </w:rPr>
        <w:t>,00 eura), pristojbe i naknade (</w:t>
      </w:r>
      <w:r w:rsidR="00CD16DA">
        <w:rPr>
          <w:b w:val="0"/>
          <w:sz w:val="20"/>
          <w:szCs w:val="20"/>
        </w:rPr>
        <w:t>1.332,00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eura) i ostale nespomenute rashode poslovanja (</w:t>
      </w:r>
      <w:r w:rsidR="00CD16DA">
        <w:rPr>
          <w:b w:val="0"/>
          <w:sz w:val="20"/>
          <w:szCs w:val="20"/>
        </w:rPr>
        <w:t>1.883,40</w:t>
      </w:r>
      <w:r w:rsidR="0018266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eura).</w:t>
      </w:r>
    </w:p>
    <w:p w:rsidR="00CA0EAC" w:rsidRPr="00CA0EAC" w:rsidRDefault="00CE491A" w:rsidP="00C84CDC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2A05AE" w:rsidRPr="002A05AE">
        <w:rPr>
          <w:sz w:val="20"/>
          <w:szCs w:val="20"/>
        </w:rPr>
        <w:t xml:space="preserve">Rashodi za donacije, kazne, naknade šteta i kapitalne pomoći </w:t>
      </w:r>
      <w:r w:rsidR="00CA0EAC">
        <w:rPr>
          <w:b w:val="0"/>
          <w:sz w:val="20"/>
          <w:szCs w:val="20"/>
        </w:rPr>
        <w:t xml:space="preserve">odnose se na tekuće donacije u naravi (nabava higijenskih menstrualnih potrepština za učenice). Iznose </w:t>
      </w:r>
      <w:r w:rsidR="00CD16DA">
        <w:rPr>
          <w:b w:val="0"/>
          <w:sz w:val="20"/>
          <w:szCs w:val="20"/>
        </w:rPr>
        <w:t>715,86</w:t>
      </w:r>
      <w:r w:rsidR="00CA0EAC">
        <w:rPr>
          <w:b w:val="0"/>
          <w:sz w:val="20"/>
          <w:szCs w:val="20"/>
        </w:rPr>
        <w:t xml:space="preserve"> eura što je </w:t>
      </w:r>
      <w:r w:rsidR="00CD16DA">
        <w:rPr>
          <w:b w:val="0"/>
          <w:sz w:val="20"/>
          <w:szCs w:val="20"/>
        </w:rPr>
        <w:t>102,27</w:t>
      </w:r>
      <w:r w:rsidR="00CA0EAC"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 w:rsidR="00CA0EAC">
        <w:rPr>
          <w:b w:val="0"/>
          <w:sz w:val="20"/>
          <w:szCs w:val="20"/>
        </w:rPr>
        <w:t xml:space="preserve"> i 0,0</w:t>
      </w:r>
      <w:r w:rsidR="00CD16DA">
        <w:rPr>
          <w:b w:val="0"/>
          <w:sz w:val="20"/>
          <w:szCs w:val="20"/>
        </w:rPr>
        <w:t>6</w:t>
      </w:r>
      <w:r w:rsidR="00CA0EAC">
        <w:rPr>
          <w:b w:val="0"/>
          <w:sz w:val="20"/>
          <w:szCs w:val="20"/>
        </w:rPr>
        <w:t>% ukupno ostvarenih rashoda i izdataka Proračuna.</w:t>
      </w:r>
    </w:p>
    <w:p w:rsidR="00CE491A" w:rsidRDefault="00CA0EAC" w:rsidP="00BF3FC8">
      <w:pPr>
        <w:pStyle w:val="Naslov"/>
        <w:rPr>
          <w:b w:val="0"/>
          <w:sz w:val="20"/>
          <w:szCs w:val="20"/>
        </w:rPr>
      </w:pPr>
      <w:r>
        <w:rPr>
          <w:b w:val="0"/>
        </w:rPr>
        <w:tab/>
      </w:r>
      <w:r w:rsidRPr="00CA0EAC">
        <w:rPr>
          <w:sz w:val="20"/>
          <w:szCs w:val="20"/>
        </w:rPr>
        <w:t>Rashodi za nabavu proizvedene dugotrajne imovine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ostvereni su u iznosu od </w:t>
      </w:r>
      <w:r w:rsidR="00CD16DA">
        <w:rPr>
          <w:b w:val="0"/>
          <w:sz w:val="20"/>
          <w:szCs w:val="20"/>
        </w:rPr>
        <w:t>2.165,09</w:t>
      </w:r>
      <w:r w:rsidR="002A05A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CD16DA">
        <w:rPr>
          <w:b w:val="0"/>
          <w:sz w:val="20"/>
          <w:szCs w:val="20"/>
        </w:rPr>
        <w:t>15,33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 i </w:t>
      </w:r>
      <w:r w:rsidR="002A05AE">
        <w:rPr>
          <w:b w:val="0"/>
          <w:sz w:val="20"/>
          <w:szCs w:val="20"/>
        </w:rPr>
        <w:t>0,</w:t>
      </w:r>
      <w:r w:rsidR="00CD16DA">
        <w:rPr>
          <w:b w:val="0"/>
          <w:sz w:val="20"/>
          <w:szCs w:val="20"/>
        </w:rPr>
        <w:t>18</w:t>
      </w:r>
      <w:r>
        <w:rPr>
          <w:b w:val="0"/>
          <w:sz w:val="20"/>
          <w:szCs w:val="20"/>
        </w:rPr>
        <w:t>% ukupno ostvarenih rashoda i izdataka Proračuna. Obuhvaćaju rashode za postrojenja i opremu te rashode za nabavu knjiga.</w:t>
      </w:r>
    </w:p>
    <w:p w:rsidR="00CA0EAC" w:rsidRDefault="00CA0EAC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CA0EAC">
        <w:rPr>
          <w:b w:val="0"/>
          <w:sz w:val="20"/>
          <w:szCs w:val="20"/>
        </w:rPr>
        <w:t>Rashodi</w:t>
      </w:r>
      <w:r>
        <w:rPr>
          <w:b w:val="0"/>
          <w:sz w:val="20"/>
          <w:szCs w:val="20"/>
        </w:rPr>
        <w:t xml:space="preserve"> za nabavu postrojenja i opreme iznose </w:t>
      </w:r>
      <w:r w:rsidR="00CD16DA">
        <w:rPr>
          <w:b w:val="0"/>
          <w:sz w:val="20"/>
          <w:szCs w:val="20"/>
        </w:rPr>
        <w:t>2.165,09</w:t>
      </w:r>
      <w:r w:rsidR="002A05A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eura što čini </w:t>
      </w:r>
      <w:r w:rsidR="00CD16DA">
        <w:rPr>
          <w:b w:val="0"/>
          <w:sz w:val="20"/>
          <w:szCs w:val="20"/>
        </w:rPr>
        <w:t>22,75</w:t>
      </w:r>
      <w:r>
        <w:rPr>
          <w:b w:val="0"/>
          <w:sz w:val="20"/>
          <w:szCs w:val="20"/>
        </w:rPr>
        <w:t xml:space="preserve">% godišnjeg </w:t>
      </w:r>
      <w:r w:rsidR="00C25FC2">
        <w:rPr>
          <w:b w:val="0"/>
          <w:sz w:val="20"/>
          <w:szCs w:val="20"/>
        </w:rPr>
        <w:t>plana, te se odnose na nabavu uredske opreme i namještaja (</w:t>
      </w:r>
      <w:r w:rsidR="00CD16DA">
        <w:rPr>
          <w:b w:val="0"/>
          <w:sz w:val="20"/>
          <w:szCs w:val="20"/>
        </w:rPr>
        <w:t>1.852,76</w:t>
      </w:r>
      <w:r w:rsidR="002A05AE">
        <w:rPr>
          <w:b w:val="0"/>
          <w:sz w:val="20"/>
          <w:szCs w:val="20"/>
        </w:rPr>
        <w:t xml:space="preserve"> </w:t>
      </w:r>
      <w:r w:rsidR="00C25FC2">
        <w:rPr>
          <w:b w:val="0"/>
          <w:sz w:val="20"/>
          <w:szCs w:val="20"/>
        </w:rPr>
        <w:t xml:space="preserve">eura), </w:t>
      </w:r>
      <w:r w:rsidR="00CD16DA">
        <w:rPr>
          <w:b w:val="0"/>
          <w:sz w:val="20"/>
          <w:szCs w:val="20"/>
        </w:rPr>
        <w:t>komunikacijske opreme</w:t>
      </w:r>
      <w:r w:rsidR="00C25FC2">
        <w:rPr>
          <w:b w:val="0"/>
          <w:sz w:val="20"/>
          <w:szCs w:val="20"/>
        </w:rPr>
        <w:t xml:space="preserve"> (</w:t>
      </w:r>
      <w:r w:rsidR="00CD16DA">
        <w:rPr>
          <w:b w:val="0"/>
          <w:sz w:val="20"/>
          <w:szCs w:val="20"/>
        </w:rPr>
        <w:t>47,50</w:t>
      </w:r>
      <w:r w:rsidR="002A05AE">
        <w:rPr>
          <w:b w:val="0"/>
          <w:sz w:val="20"/>
          <w:szCs w:val="20"/>
        </w:rPr>
        <w:t xml:space="preserve"> </w:t>
      </w:r>
      <w:r w:rsidR="00C25FC2">
        <w:rPr>
          <w:b w:val="0"/>
          <w:sz w:val="20"/>
          <w:szCs w:val="20"/>
        </w:rPr>
        <w:t>eura), te nabavu uređaja</w:t>
      </w:r>
      <w:r w:rsidR="00CD16DA">
        <w:rPr>
          <w:b w:val="0"/>
          <w:sz w:val="20"/>
          <w:szCs w:val="20"/>
        </w:rPr>
        <w:t>, strojeva</w:t>
      </w:r>
      <w:r w:rsidR="00C25FC2">
        <w:rPr>
          <w:b w:val="0"/>
          <w:sz w:val="20"/>
          <w:szCs w:val="20"/>
        </w:rPr>
        <w:t xml:space="preserve"> i opreme (</w:t>
      </w:r>
      <w:r w:rsidR="00CD16DA">
        <w:rPr>
          <w:b w:val="0"/>
          <w:sz w:val="20"/>
          <w:szCs w:val="20"/>
        </w:rPr>
        <w:t xml:space="preserve">264,83 </w:t>
      </w:r>
      <w:r w:rsidR="00C25FC2">
        <w:rPr>
          <w:b w:val="0"/>
          <w:sz w:val="20"/>
          <w:szCs w:val="20"/>
        </w:rPr>
        <w:t>eura).</w:t>
      </w:r>
    </w:p>
    <w:p w:rsidR="00C25FC2" w:rsidRPr="00CA0EAC" w:rsidRDefault="00C25FC2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201AEA" w:rsidRDefault="00201AEA" w:rsidP="00801B9C">
      <w:pPr>
        <w:spacing w:before="166"/>
        <w:ind w:left="236"/>
        <w:rPr>
          <w:rFonts w:ascii="Calibri" w:hAnsi="Calibri"/>
          <w:color w:val="FF0000"/>
        </w:rPr>
      </w:pPr>
    </w:p>
    <w:p w:rsidR="00201AEA" w:rsidRDefault="00201AEA" w:rsidP="00201AEA">
      <w:pPr>
        <w:widowControl/>
        <w:autoSpaceDE/>
        <w:autoSpaceDN/>
        <w:ind w:firstLine="236"/>
        <w:rPr>
          <w:sz w:val="20"/>
          <w:szCs w:val="20"/>
        </w:rPr>
      </w:pPr>
    </w:p>
    <w:p w:rsidR="00201AEA" w:rsidRPr="00201AEA" w:rsidRDefault="00201AEA" w:rsidP="00201AEA">
      <w:pPr>
        <w:widowControl/>
        <w:autoSpaceDE/>
        <w:autoSpaceDN/>
        <w:ind w:firstLine="236"/>
        <w:rPr>
          <w:rFonts w:asciiTheme="minorHAnsi" w:hAnsiTheme="minorHAnsi" w:cstheme="minorHAnsi"/>
          <w:b/>
        </w:rPr>
      </w:pPr>
      <w:r w:rsidRPr="00201AEA">
        <w:rPr>
          <w:rFonts w:asciiTheme="minorHAnsi" w:hAnsiTheme="minorHAnsi" w:cstheme="minorHAnsi"/>
          <w:b/>
        </w:rPr>
        <w:t>PRIKAZ OSTVARENOG MANJKA ODNOSNO VIŠKA</w:t>
      </w:r>
    </w:p>
    <w:p w:rsidR="00201AEA" w:rsidRPr="00201AEA" w:rsidRDefault="00201AEA" w:rsidP="00201AEA">
      <w:pPr>
        <w:widowControl/>
        <w:autoSpaceDE/>
        <w:autoSpaceDN/>
        <w:ind w:firstLine="236"/>
        <w:rPr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418"/>
      </w:tblGrid>
      <w:tr w:rsidR="00201AEA" w:rsidTr="00201AEA">
        <w:trPr>
          <w:trHeight w:val="395"/>
        </w:trPr>
        <w:tc>
          <w:tcPr>
            <w:tcW w:w="7792" w:type="dxa"/>
            <w:gridSpan w:val="2"/>
          </w:tcPr>
          <w:p w:rsidR="00201AEA" w:rsidRDefault="00201AEA" w:rsidP="00201AEA">
            <w:pPr>
              <w:jc w:val="center"/>
            </w:pPr>
            <w:r w:rsidRPr="00201A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MANJAK PRIHODA NAD RASHODIMA (ZA PODMIRENJE U SLIJEDEĆEM RAZDOBLJU) PREMA IZVORIMA FINANCIRANJA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IZVOR FINANCIRANJA</w:t>
            </w:r>
          </w:p>
        </w:tc>
        <w:tc>
          <w:tcPr>
            <w:tcW w:w="1418" w:type="dxa"/>
          </w:tcPr>
          <w:p w:rsidR="00201AEA" w:rsidRPr="00201AEA" w:rsidRDefault="00201AEA" w:rsidP="00306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IZNOS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111 OSJEČKO-BARANJSKA ŽUPANIJA</w:t>
            </w:r>
          </w:p>
        </w:tc>
        <w:tc>
          <w:tcPr>
            <w:tcW w:w="1418" w:type="dxa"/>
            <w:vAlign w:val="bottom"/>
          </w:tcPr>
          <w:p w:rsidR="00201AEA" w:rsidRPr="00201AEA" w:rsidRDefault="00CD16DA" w:rsidP="001924B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924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3,02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461 OSJEČKO-BARANJSKA ŽUPANIJA</w:t>
            </w:r>
          </w:p>
        </w:tc>
        <w:tc>
          <w:tcPr>
            <w:tcW w:w="1418" w:type="dxa"/>
            <w:vAlign w:val="bottom"/>
          </w:tcPr>
          <w:p w:rsidR="00201AEA" w:rsidRPr="00201AEA" w:rsidRDefault="00CD16D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7.276,92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3210 VLASTITI PRIHODI</w:t>
            </w:r>
          </w:p>
        </w:tc>
        <w:tc>
          <w:tcPr>
            <w:tcW w:w="1418" w:type="dxa"/>
            <w:vAlign w:val="bottom"/>
          </w:tcPr>
          <w:p w:rsidR="00201AEA" w:rsidRPr="00201AEA" w:rsidRDefault="00CD16D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2.245,08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5212 ŠKOLSKA SHEMA   </w:t>
            </w:r>
          </w:p>
        </w:tc>
        <w:tc>
          <w:tcPr>
            <w:tcW w:w="1418" w:type="dxa"/>
            <w:vAlign w:val="bottom"/>
          </w:tcPr>
          <w:p w:rsidR="00201AEA" w:rsidRPr="00201AEA" w:rsidRDefault="00CD16D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364,63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526 UČIMO ZAJEDNO</w:t>
            </w:r>
          </w:p>
        </w:tc>
        <w:tc>
          <w:tcPr>
            <w:tcW w:w="1418" w:type="dxa"/>
            <w:vAlign w:val="bottom"/>
          </w:tcPr>
          <w:p w:rsidR="00201AEA" w:rsidRPr="00201AEA" w:rsidRDefault="00CD16DA" w:rsidP="002A05A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-18,11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5410 POMOĆI   </w:t>
            </w:r>
          </w:p>
        </w:tc>
        <w:tc>
          <w:tcPr>
            <w:tcW w:w="1418" w:type="dxa"/>
            <w:vAlign w:val="bottom"/>
          </w:tcPr>
          <w:p w:rsidR="00201AEA" w:rsidRPr="00201AEA" w:rsidRDefault="00CD16D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-138.310,43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VIŠAK PRIHODA POSLOVANJA PRENESENI</w:t>
            </w:r>
          </w:p>
        </w:tc>
        <w:tc>
          <w:tcPr>
            <w:tcW w:w="1418" w:type="dxa"/>
            <w:vAlign w:val="bottom"/>
          </w:tcPr>
          <w:p w:rsidR="00201AEA" w:rsidRPr="00201AEA" w:rsidRDefault="001924BC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-7.004,65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MANJAK PRIHODA OD NEFINANCIJSKE IMOVINE PRENESENI</w:t>
            </w:r>
          </w:p>
        </w:tc>
        <w:tc>
          <w:tcPr>
            <w:tcW w:w="1418" w:type="dxa"/>
            <w:vAlign w:val="bottom"/>
          </w:tcPr>
          <w:p w:rsidR="00201AEA" w:rsidRPr="00201AEA" w:rsidRDefault="001924BC" w:rsidP="002A05A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-6.721,22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418" w:type="dxa"/>
            <w:vAlign w:val="bottom"/>
          </w:tcPr>
          <w:p w:rsidR="00201AEA" w:rsidRPr="00201AEA" w:rsidRDefault="00F321D0" w:rsidP="001924B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-1</w:t>
            </w:r>
            <w:r w:rsidR="001924BC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1924BC">
              <w:rPr>
                <w:rFonts w:asciiTheme="minorHAnsi" w:hAnsiTheme="minorHAnsi" w:cstheme="minorHAnsi"/>
                <w:b/>
                <w:sz w:val="20"/>
                <w:szCs w:val="20"/>
              </w:rPr>
              <w:t>914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1924BC">
              <w:rPr>
                <w:rFonts w:asciiTheme="minorHAnsi" w:hAnsiTheme="minorHAnsi" w:cstheme="minorHAnsi"/>
                <w:b/>
                <w:sz w:val="20"/>
                <w:szCs w:val="20"/>
              </w:rPr>
              <w:t>76</w:t>
            </w:r>
          </w:p>
        </w:tc>
      </w:tr>
    </w:tbl>
    <w:p w:rsidR="00007250" w:rsidRDefault="00007250" w:rsidP="001924BC">
      <w:pPr>
        <w:spacing w:before="23" w:line="259" w:lineRule="auto"/>
        <w:ind w:left="236" w:right="1046" w:firstLine="484"/>
        <w:rPr>
          <w:rFonts w:ascii="Calibri" w:hAnsi="Calibri"/>
          <w:sz w:val="20"/>
          <w:szCs w:val="20"/>
        </w:rPr>
      </w:pPr>
    </w:p>
    <w:p w:rsidR="00A82030" w:rsidRDefault="00201AEA" w:rsidP="001924BC">
      <w:pPr>
        <w:spacing w:before="23" w:line="259" w:lineRule="auto"/>
        <w:ind w:left="236" w:right="1046" w:firstLine="484"/>
        <w:rPr>
          <w:rFonts w:ascii="Calibri" w:hAnsi="Calibri"/>
        </w:rPr>
      </w:pPr>
      <w:r w:rsidRPr="00201AEA">
        <w:rPr>
          <w:rFonts w:ascii="Calibri" w:hAnsi="Calibri"/>
          <w:sz w:val="20"/>
          <w:szCs w:val="20"/>
        </w:rPr>
        <w:lastRenderedPageBreak/>
        <w:t xml:space="preserve">U ovom izvještajnom razdoblju ostvaren je metodološki manjak prihoda nad rashodima </w:t>
      </w:r>
      <w:r w:rsidR="001924BC">
        <w:rPr>
          <w:rFonts w:ascii="Calibri" w:hAnsi="Calibri"/>
          <w:sz w:val="20"/>
          <w:szCs w:val="20"/>
        </w:rPr>
        <w:t xml:space="preserve">u iznosu od 141.914,76 eura. </w:t>
      </w:r>
      <w:r w:rsidR="001924BC" w:rsidRPr="001924BC">
        <w:rPr>
          <w:rFonts w:ascii="Calibri" w:hAnsi="Calibri"/>
          <w:sz w:val="20"/>
          <w:szCs w:val="20"/>
        </w:rPr>
        <w:t>Na ostvareni manjak utjecala je promjena načina knjiženja plaća tako da se plaće više ne knjiže na kontinuirane rashode budućih razdoblja, pa se plaća za lipanj knjižila kao trošak za lipanj</w:t>
      </w:r>
      <w:r w:rsidR="001924BC">
        <w:rPr>
          <w:rFonts w:ascii="Calibri" w:hAnsi="Calibri"/>
          <w:sz w:val="20"/>
          <w:szCs w:val="20"/>
        </w:rPr>
        <w:t>, a ne kao trošak za srpanj</w:t>
      </w:r>
      <w:r w:rsidR="001924BC" w:rsidRPr="001924BC">
        <w:rPr>
          <w:rFonts w:ascii="Calibri" w:hAnsi="Calibri"/>
          <w:sz w:val="20"/>
          <w:szCs w:val="20"/>
        </w:rPr>
        <w:t>. Posljedica toga je da u prvih šest mjeseci imamo sedam troškova plaća i prijevoza</w:t>
      </w:r>
      <w:r w:rsidR="001924BC">
        <w:rPr>
          <w:rFonts w:ascii="Calibri" w:hAnsi="Calibri"/>
          <w:sz w:val="20"/>
          <w:szCs w:val="20"/>
        </w:rPr>
        <w:t>, a šest prihoda</w:t>
      </w:r>
      <w:r w:rsidR="001924BC" w:rsidRPr="001924BC">
        <w:rPr>
          <w:rFonts w:ascii="Calibri" w:hAnsi="Calibri"/>
          <w:sz w:val="20"/>
          <w:szCs w:val="20"/>
        </w:rPr>
        <w:t>.</w:t>
      </w:r>
    </w:p>
    <w:p w:rsidR="00A82030" w:rsidRDefault="00A82030">
      <w:pPr>
        <w:spacing w:before="23" w:line="259" w:lineRule="auto"/>
        <w:ind w:left="236" w:right="1046"/>
        <w:rPr>
          <w:rFonts w:ascii="Calibri" w:hAnsi="Calibri"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1924BC" w:rsidRDefault="001924BC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007250" w:rsidRDefault="00007250" w:rsidP="00A82030">
      <w:pPr>
        <w:ind w:left="236"/>
        <w:rPr>
          <w:rFonts w:ascii="Calibri" w:hAnsi="Calibri"/>
          <w:b/>
        </w:rPr>
      </w:pPr>
    </w:p>
    <w:p w:rsidR="00A82030" w:rsidRDefault="0083461D" w:rsidP="00A82030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A82030">
        <w:rPr>
          <w:rFonts w:ascii="Calibri" w:hAnsi="Calibri"/>
          <w:b/>
        </w:rPr>
        <w:t>Obrazloženje</w:t>
      </w:r>
      <w:r w:rsidR="00A82030">
        <w:rPr>
          <w:rFonts w:ascii="Calibri" w:hAnsi="Calibri"/>
          <w:b/>
          <w:spacing w:val="-5"/>
        </w:rPr>
        <w:t xml:space="preserve"> </w:t>
      </w:r>
      <w:r w:rsidR="00A82030">
        <w:rPr>
          <w:rFonts w:ascii="Calibri" w:hAnsi="Calibri"/>
          <w:b/>
        </w:rPr>
        <w:t>posebnog</w:t>
      </w:r>
      <w:r w:rsidR="00A82030">
        <w:rPr>
          <w:rFonts w:ascii="Calibri" w:hAnsi="Calibri"/>
          <w:b/>
          <w:spacing w:val="-6"/>
        </w:rPr>
        <w:t xml:space="preserve"> </w:t>
      </w:r>
      <w:r w:rsidR="00A82030">
        <w:rPr>
          <w:rFonts w:ascii="Calibri" w:hAnsi="Calibri"/>
          <w:b/>
        </w:rPr>
        <w:t>dijela</w:t>
      </w:r>
      <w:r w:rsidR="00A82030">
        <w:rPr>
          <w:rFonts w:ascii="Calibri" w:hAnsi="Calibri"/>
          <w:b/>
          <w:spacing w:val="-6"/>
        </w:rPr>
        <w:t xml:space="preserve"> </w:t>
      </w:r>
      <w:r w:rsidR="00A82030">
        <w:rPr>
          <w:rFonts w:ascii="Calibri" w:hAnsi="Calibri"/>
          <w:b/>
        </w:rPr>
        <w:t>polugodišnjeg</w:t>
      </w:r>
      <w:r w:rsidR="00A82030">
        <w:rPr>
          <w:rFonts w:ascii="Calibri" w:hAnsi="Calibri"/>
          <w:b/>
          <w:spacing w:val="-6"/>
        </w:rPr>
        <w:t xml:space="preserve"> </w:t>
      </w:r>
      <w:r w:rsidR="00A82030">
        <w:rPr>
          <w:rFonts w:ascii="Calibri" w:hAnsi="Calibri"/>
          <w:b/>
        </w:rPr>
        <w:t>izvještaja</w:t>
      </w:r>
      <w:r w:rsidR="00A82030">
        <w:rPr>
          <w:rFonts w:ascii="Calibri" w:hAnsi="Calibri"/>
          <w:b/>
          <w:spacing w:val="-7"/>
        </w:rPr>
        <w:t xml:space="preserve"> </w:t>
      </w:r>
      <w:r w:rsidR="00A82030">
        <w:rPr>
          <w:rFonts w:ascii="Calibri" w:hAnsi="Calibri"/>
          <w:b/>
        </w:rPr>
        <w:t>o</w:t>
      </w:r>
      <w:r w:rsidR="00A82030">
        <w:rPr>
          <w:rFonts w:ascii="Calibri" w:hAnsi="Calibri"/>
          <w:b/>
          <w:spacing w:val="-4"/>
        </w:rPr>
        <w:t xml:space="preserve"> </w:t>
      </w:r>
      <w:r w:rsidR="00A82030">
        <w:rPr>
          <w:rFonts w:ascii="Calibri" w:hAnsi="Calibri"/>
          <w:b/>
        </w:rPr>
        <w:t>izvršenju</w:t>
      </w:r>
      <w:r w:rsidR="00A82030">
        <w:rPr>
          <w:rFonts w:ascii="Calibri" w:hAnsi="Calibri"/>
          <w:b/>
          <w:spacing w:val="-4"/>
        </w:rPr>
        <w:t xml:space="preserve"> </w:t>
      </w:r>
      <w:r w:rsidR="00A82030">
        <w:rPr>
          <w:rFonts w:ascii="Calibri" w:hAnsi="Calibri"/>
          <w:b/>
        </w:rPr>
        <w:t>financijskog</w:t>
      </w:r>
      <w:r w:rsidR="00A82030">
        <w:rPr>
          <w:rFonts w:ascii="Calibri" w:hAnsi="Calibri"/>
          <w:b/>
          <w:spacing w:val="-6"/>
        </w:rPr>
        <w:t xml:space="preserve"> </w:t>
      </w:r>
      <w:r w:rsidR="00A82030">
        <w:rPr>
          <w:rFonts w:ascii="Calibri" w:hAnsi="Calibri"/>
          <w:b/>
        </w:rPr>
        <w:t>plana</w:t>
      </w:r>
    </w:p>
    <w:p w:rsidR="00765A35" w:rsidRDefault="00765A35">
      <w:pPr>
        <w:spacing w:line="259" w:lineRule="auto"/>
        <w:rPr>
          <w:rFonts w:ascii="Calibri" w:hAnsi="Calibri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83"/>
        <w:gridCol w:w="7417"/>
      </w:tblGrid>
      <w:tr w:rsidR="00765A35" w:rsidRPr="006B6C24" w:rsidTr="00E0386E">
        <w:trPr>
          <w:trHeight w:val="21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A35" w:rsidRPr="002C152C" w:rsidRDefault="00765A35" w:rsidP="00781205">
            <w:pPr>
              <w:pStyle w:val="Naslov1"/>
              <w:ind w:left="0"/>
              <w:rPr>
                <w:i w:val="0"/>
              </w:rPr>
            </w:pPr>
            <w:r w:rsidRPr="002C152C">
              <w:rPr>
                <w:i w:val="0"/>
              </w:rPr>
              <w:t>NAZIV KORISNIKA:</w:t>
            </w: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SAŽETAK DJELOKRUGA RADA</w:t>
            </w:r>
            <w:r w:rsidRPr="006B6C24">
              <w:rPr>
                <w:bCs/>
                <w:sz w:val="20"/>
              </w:rPr>
              <w:t>:</w:t>
            </w: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6C0D06" w:rsidRDefault="006C0D06" w:rsidP="00781205">
            <w:pPr>
              <w:rPr>
                <w:bCs/>
                <w:color w:val="FF0000"/>
                <w:sz w:val="20"/>
              </w:rPr>
            </w:pPr>
          </w:p>
          <w:p w:rsidR="00F7113E" w:rsidRDefault="00F7113E" w:rsidP="00781205">
            <w:pPr>
              <w:rPr>
                <w:bCs/>
                <w:sz w:val="20"/>
              </w:rPr>
            </w:pPr>
          </w:p>
          <w:p w:rsidR="00F7113E" w:rsidRDefault="00F7113E" w:rsidP="00781205">
            <w:pPr>
              <w:rPr>
                <w:bCs/>
                <w:sz w:val="20"/>
              </w:rPr>
            </w:pPr>
          </w:p>
          <w:p w:rsidR="00A66582" w:rsidRDefault="00A66582" w:rsidP="00781205">
            <w:pPr>
              <w:rPr>
                <w:bCs/>
                <w:sz w:val="20"/>
              </w:rPr>
            </w:pPr>
          </w:p>
          <w:p w:rsidR="00A66582" w:rsidRDefault="00A66582" w:rsidP="00781205">
            <w:pPr>
              <w:rPr>
                <w:bCs/>
                <w:sz w:val="20"/>
              </w:rPr>
            </w:pPr>
          </w:p>
          <w:p w:rsidR="00A66582" w:rsidRDefault="00A66582" w:rsidP="00781205">
            <w:pPr>
              <w:rPr>
                <w:bCs/>
                <w:sz w:val="20"/>
              </w:rPr>
            </w:pPr>
          </w:p>
          <w:p w:rsidR="00765A35" w:rsidRPr="005C387B" w:rsidRDefault="00E0386E" w:rsidP="003052C7">
            <w:pPr>
              <w:ind w:right="-102"/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t>I</w:t>
            </w:r>
            <w:r w:rsidR="003052C7">
              <w:rPr>
                <w:bCs/>
                <w:sz w:val="20"/>
              </w:rPr>
              <w:t>ZVRŠENJE</w:t>
            </w:r>
            <w:r w:rsidRPr="005C387B">
              <w:rPr>
                <w:bCs/>
                <w:sz w:val="20"/>
              </w:rPr>
              <w:t xml:space="preserve"> </w:t>
            </w:r>
            <w:r w:rsidR="00A66582">
              <w:rPr>
                <w:bCs/>
                <w:sz w:val="20"/>
              </w:rPr>
              <w:t>1</w:t>
            </w:r>
            <w:r w:rsidRPr="005C387B">
              <w:rPr>
                <w:bCs/>
                <w:sz w:val="20"/>
              </w:rPr>
              <w:t>.-</w:t>
            </w:r>
            <w:r w:rsidR="003052C7">
              <w:rPr>
                <w:bCs/>
                <w:sz w:val="20"/>
              </w:rPr>
              <w:t>6</w:t>
            </w:r>
            <w:r w:rsidR="00F7113E">
              <w:rPr>
                <w:bCs/>
                <w:sz w:val="20"/>
              </w:rPr>
              <w:t>.202</w:t>
            </w:r>
            <w:r w:rsidR="00A66582">
              <w:rPr>
                <w:bCs/>
                <w:sz w:val="20"/>
              </w:rPr>
              <w:t>5</w:t>
            </w:r>
            <w:r w:rsidRPr="005C387B">
              <w:rPr>
                <w:bCs/>
                <w:sz w:val="20"/>
              </w:rPr>
              <w:t>.</w:t>
            </w: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E0386E">
            <w:pPr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5A35" w:rsidRPr="006B6C24" w:rsidRDefault="00765A35" w:rsidP="00781205">
            <w:pPr>
              <w:rPr>
                <w:sz w:val="20"/>
              </w:rPr>
            </w:pP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A35" w:rsidRPr="007A0196" w:rsidRDefault="00765A35" w:rsidP="00781205">
            <w:pPr>
              <w:rPr>
                <w:caps/>
                <w:sz w:val="20"/>
              </w:rPr>
            </w:pPr>
            <w:r>
              <w:rPr>
                <w:caps/>
                <w:sz w:val="20"/>
              </w:rPr>
              <w:t>OSNOVNA ŠKOLA JOSIPA KOZARCA, SEMELJCI</w:t>
            </w:r>
          </w:p>
          <w:p w:rsidR="00765A35" w:rsidRDefault="00765A35" w:rsidP="00781205">
            <w:pPr>
              <w:rPr>
                <w:sz w:val="20"/>
              </w:rPr>
            </w:pPr>
          </w:p>
          <w:p w:rsidR="00765A35" w:rsidRDefault="00765A35" w:rsidP="00781205">
            <w:pPr>
              <w:pStyle w:val="Odlomakpopisa"/>
              <w:ind w:left="708"/>
              <w:rPr>
                <w:szCs w:val="24"/>
              </w:rPr>
            </w:pPr>
            <w:r>
              <w:rPr>
                <w:szCs w:val="24"/>
              </w:rPr>
              <w:t>Sažetak djelokruga rada škole</w:t>
            </w:r>
          </w:p>
          <w:p w:rsidR="00765A35" w:rsidRDefault="00765A35" w:rsidP="00781205">
            <w:pPr>
              <w:pStyle w:val="Odlomakpopisa"/>
              <w:rPr>
                <w:szCs w:val="24"/>
              </w:rPr>
            </w:pPr>
          </w:p>
          <w:p w:rsidR="00765A35" w:rsidRDefault="00765A35" w:rsidP="00E0386E">
            <w:pPr>
              <w:pStyle w:val="Odlomakpopisa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Osnovna škola Josipa Kozarca javna je ustanova sa sjedištem u Semeljcima, Školska 21. Djelatnost škole obuhvaća osnovnoškolsko obrazovanje i odgoj učenika od 1.-8. razreda. Nastava je organizirana kroz petodnevni radni tjedan sa slobodnim subotama. Nastava se odvija u oblicima: redovna, izborna, dodatna i dopunska nastava prema nastavnim planovima i programima koje je donijelo Ministarstvo znanosti, obrazovanja, prema Godišnjem planu i program rada škole te Školskom kurikulum</w:t>
            </w:r>
            <w:r w:rsidR="00306B8B">
              <w:rPr>
                <w:szCs w:val="24"/>
              </w:rPr>
              <w:t>u za š</w:t>
            </w:r>
            <w:r w:rsidR="00A66582">
              <w:rPr>
                <w:szCs w:val="24"/>
              </w:rPr>
              <w:t>kolsku</w:t>
            </w:r>
            <w:r w:rsidR="00306B8B">
              <w:rPr>
                <w:szCs w:val="24"/>
              </w:rPr>
              <w:t xml:space="preserve"> godin</w:t>
            </w:r>
            <w:r w:rsidR="00A66582">
              <w:rPr>
                <w:szCs w:val="24"/>
              </w:rPr>
              <w:t>u</w:t>
            </w:r>
            <w:r w:rsidR="00306B8B">
              <w:rPr>
                <w:szCs w:val="24"/>
              </w:rPr>
              <w:t xml:space="preserve"> 202</w:t>
            </w:r>
            <w:r w:rsidR="00F7113E">
              <w:rPr>
                <w:szCs w:val="24"/>
              </w:rPr>
              <w:t>4</w:t>
            </w:r>
            <w:r w:rsidR="00306B8B">
              <w:rPr>
                <w:szCs w:val="24"/>
              </w:rPr>
              <w:t>./202</w:t>
            </w:r>
            <w:r w:rsidR="00F7113E">
              <w:rPr>
                <w:szCs w:val="24"/>
              </w:rPr>
              <w:t>5</w:t>
            </w:r>
            <w:r w:rsidR="00306B8B">
              <w:rPr>
                <w:szCs w:val="24"/>
              </w:rPr>
              <w:t xml:space="preserve">. </w:t>
            </w:r>
          </w:p>
          <w:p w:rsidR="00E0386E" w:rsidRDefault="00E0386E" w:rsidP="00781205">
            <w:pPr>
              <w:ind w:firstLine="360"/>
              <w:rPr>
                <w:szCs w:val="24"/>
              </w:rPr>
            </w:pPr>
          </w:p>
          <w:p w:rsidR="00765A35" w:rsidRDefault="00765A35" w:rsidP="00781205">
            <w:pPr>
              <w:ind w:firstLine="360"/>
              <w:rPr>
                <w:szCs w:val="24"/>
              </w:rPr>
            </w:pPr>
            <w:r>
              <w:rPr>
                <w:szCs w:val="24"/>
              </w:rPr>
              <w:t xml:space="preserve">Nastava se održava u matičnoj školi u Semeljcima i šest područnih odjela i to: 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Matična škola u Semeljcima ima 10 (deset) odjela predmetne nastave  i 4 (četiri) čista razredna odjela razredne nastave Nastava u razrednoj i predmetnoj nastavi odvija se u prijepodnevnoj smjeni.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Područni odjel u Forkuševcima ima 2 (dva) kombinirana odjela razredne nastave (dvije dvorazredne kombinacije). Nastava je organizirana u prijepodnevnoj smjeni.</w:t>
            </w:r>
          </w:p>
          <w:p w:rsidR="00765A35" w:rsidRPr="00E1188B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Područni odjel u Kešincima ima </w:t>
            </w:r>
            <w:r w:rsidR="00306B8B">
              <w:rPr>
                <w:szCs w:val="24"/>
              </w:rPr>
              <w:t>2</w:t>
            </w:r>
            <w:r>
              <w:rPr>
                <w:szCs w:val="24"/>
              </w:rPr>
              <w:t xml:space="preserve"> (</w:t>
            </w:r>
            <w:r w:rsidR="00306B8B">
              <w:rPr>
                <w:szCs w:val="24"/>
              </w:rPr>
              <w:t>dva</w:t>
            </w:r>
            <w:r>
              <w:rPr>
                <w:szCs w:val="24"/>
              </w:rPr>
              <w:t>) čista razredna odjela razredne n</w:t>
            </w:r>
            <w:r w:rsidR="00306B8B">
              <w:rPr>
                <w:szCs w:val="24"/>
              </w:rPr>
              <w:t xml:space="preserve">astave i 1 (jedan) odjel dvorazredne kombinacije razredne nastave. </w:t>
            </w:r>
            <w:r>
              <w:rPr>
                <w:szCs w:val="24"/>
              </w:rPr>
              <w:t>Nastava je organizirana u prijepodnevnoj i popodnevnoj smjeni.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Područni odjel u Koritna ima </w:t>
            </w:r>
            <w:r w:rsidR="00F7113E">
              <w:rPr>
                <w:szCs w:val="24"/>
              </w:rPr>
              <w:t>4</w:t>
            </w:r>
            <w:r>
              <w:rPr>
                <w:szCs w:val="24"/>
              </w:rPr>
              <w:t xml:space="preserve"> (</w:t>
            </w:r>
            <w:r w:rsidR="00F7113E">
              <w:rPr>
                <w:szCs w:val="24"/>
              </w:rPr>
              <w:t>četiri</w:t>
            </w:r>
            <w:r>
              <w:rPr>
                <w:szCs w:val="24"/>
              </w:rPr>
              <w:t>) čista razredna odjela</w:t>
            </w:r>
            <w:r w:rsidR="00F7113E">
              <w:rPr>
                <w:szCs w:val="24"/>
              </w:rPr>
              <w:t xml:space="preserve"> r</w:t>
            </w:r>
            <w:r>
              <w:rPr>
                <w:szCs w:val="24"/>
              </w:rPr>
              <w:t>azredne nastave. Nastava se odvija u prijepodnevnoj smjeni.</w:t>
            </w:r>
          </w:p>
          <w:p w:rsidR="00765A35" w:rsidRPr="0098250E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 w:rsidRPr="00E1188B">
              <w:rPr>
                <w:szCs w:val="24"/>
              </w:rPr>
              <w:t xml:space="preserve">Područni odjel u  </w:t>
            </w:r>
            <w:r>
              <w:rPr>
                <w:szCs w:val="24"/>
              </w:rPr>
              <w:t xml:space="preserve">Mrzoviću  ima 4 </w:t>
            </w:r>
            <w:r w:rsidRPr="00E1188B">
              <w:rPr>
                <w:szCs w:val="24"/>
              </w:rPr>
              <w:t>(</w:t>
            </w:r>
            <w:r>
              <w:rPr>
                <w:szCs w:val="24"/>
              </w:rPr>
              <w:t>četiri</w:t>
            </w:r>
            <w:r w:rsidRPr="00E1188B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čista </w:t>
            </w:r>
            <w:r w:rsidRPr="00E1188B">
              <w:rPr>
                <w:szCs w:val="24"/>
              </w:rPr>
              <w:t>odjel</w:t>
            </w:r>
            <w:r>
              <w:rPr>
                <w:szCs w:val="24"/>
              </w:rPr>
              <w:t>a</w:t>
            </w:r>
            <w:r w:rsidRPr="00E1188B">
              <w:rPr>
                <w:szCs w:val="24"/>
              </w:rPr>
              <w:t xml:space="preserve"> </w:t>
            </w:r>
            <w:r>
              <w:rPr>
                <w:szCs w:val="24"/>
              </w:rPr>
              <w:t>razredne nastave. N</w:t>
            </w:r>
            <w:r w:rsidRPr="00E1188B">
              <w:rPr>
                <w:szCs w:val="24"/>
              </w:rPr>
              <w:t xml:space="preserve">astava je organizirana u </w:t>
            </w:r>
            <w:r>
              <w:rPr>
                <w:szCs w:val="24"/>
              </w:rPr>
              <w:t>prijepodnevnoj i popodnevnoj smjeni</w:t>
            </w:r>
            <w:r w:rsidRPr="0098250E">
              <w:rPr>
                <w:szCs w:val="24"/>
              </w:rPr>
              <w:t>.</w:t>
            </w:r>
          </w:p>
          <w:p w:rsidR="00765A35" w:rsidRPr="0098250E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 w:rsidRPr="002030CC">
              <w:rPr>
                <w:szCs w:val="24"/>
              </w:rPr>
              <w:t xml:space="preserve">Područni odjel u </w:t>
            </w:r>
            <w:r>
              <w:rPr>
                <w:szCs w:val="24"/>
              </w:rPr>
              <w:t>Vrbici</w:t>
            </w:r>
            <w:r w:rsidRPr="002030CC">
              <w:rPr>
                <w:szCs w:val="24"/>
              </w:rPr>
              <w:t xml:space="preserve"> </w:t>
            </w:r>
            <w:r>
              <w:rPr>
                <w:szCs w:val="24"/>
              </w:rPr>
              <w:t>ima 4 (četiri) čista razredna odjela razredne nastave. Nastava je organizirana u prijepodnevnoj i popodnevnoj smjeni</w:t>
            </w:r>
            <w:r w:rsidRPr="0098250E">
              <w:rPr>
                <w:szCs w:val="24"/>
              </w:rPr>
              <w:t xml:space="preserve">. </w:t>
            </w:r>
          </w:p>
          <w:p w:rsidR="00765A35" w:rsidRPr="0098250E" w:rsidRDefault="00765A35" w:rsidP="00765A35">
            <w:pPr>
              <w:numPr>
                <w:ilvl w:val="0"/>
                <w:numId w:val="7"/>
              </w:numPr>
              <w:adjustRightInd w:val="0"/>
              <w:spacing w:after="120"/>
              <w:rPr>
                <w:szCs w:val="24"/>
              </w:rPr>
            </w:pPr>
            <w:r w:rsidRPr="00E1188B">
              <w:rPr>
                <w:szCs w:val="24"/>
              </w:rPr>
              <w:t xml:space="preserve">Područni odjel u </w:t>
            </w:r>
            <w:r>
              <w:rPr>
                <w:szCs w:val="24"/>
              </w:rPr>
              <w:t>Vučevcima</w:t>
            </w:r>
            <w:r w:rsidRPr="00E1188B">
              <w:rPr>
                <w:szCs w:val="24"/>
              </w:rPr>
              <w:t xml:space="preserve"> ima </w:t>
            </w:r>
            <w:r>
              <w:rPr>
                <w:szCs w:val="24"/>
              </w:rPr>
              <w:t>1 (jedan) odjel</w:t>
            </w:r>
            <w:r w:rsidRPr="00E1188B">
              <w:rPr>
                <w:szCs w:val="24"/>
              </w:rPr>
              <w:t xml:space="preserve"> </w:t>
            </w:r>
            <w:r w:rsidR="00306B8B">
              <w:rPr>
                <w:szCs w:val="24"/>
              </w:rPr>
              <w:t>dv</w:t>
            </w:r>
            <w:r>
              <w:rPr>
                <w:szCs w:val="24"/>
              </w:rPr>
              <w:t>or</w:t>
            </w:r>
            <w:r w:rsidRPr="00E1188B">
              <w:rPr>
                <w:szCs w:val="24"/>
              </w:rPr>
              <w:t>azredne kombinacije</w:t>
            </w:r>
            <w:r>
              <w:rPr>
                <w:szCs w:val="24"/>
              </w:rPr>
              <w:t>. N</w:t>
            </w:r>
            <w:r w:rsidRPr="00E1188B">
              <w:rPr>
                <w:szCs w:val="24"/>
              </w:rPr>
              <w:t>astava je organizirana u</w:t>
            </w:r>
            <w:r>
              <w:rPr>
                <w:szCs w:val="24"/>
              </w:rPr>
              <w:t xml:space="preserve"> prijepodnevnoj smjeni</w:t>
            </w:r>
            <w:r w:rsidRPr="00E1188B">
              <w:rPr>
                <w:szCs w:val="24"/>
              </w:rPr>
              <w:t>.</w:t>
            </w:r>
          </w:p>
          <w:p w:rsidR="00765A35" w:rsidRPr="00CE1BDC" w:rsidRDefault="006C0D06" w:rsidP="00E0386E">
            <w:pPr>
              <w:adjustRightInd w:val="0"/>
              <w:spacing w:line="276" w:lineRule="auto"/>
              <w:ind w:firstLine="360"/>
              <w:rPr>
                <w:szCs w:val="24"/>
              </w:rPr>
            </w:pPr>
            <w:r w:rsidRPr="00CE1BDC">
              <w:rPr>
                <w:szCs w:val="24"/>
              </w:rPr>
              <w:t xml:space="preserve">Školu polazi </w:t>
            </w:r>
            <w:r w:rsidR="00160712" w:rsidRPr="00CE1BDC">
              <w:rPr>
                <w:szCs w:val="24"/>
              </w:rPr>
              <w:t>324</w:t>
            </w:r>
            <w:r w:rsidR="00765A35" w:rsidRPr="00CE1BDC">
              <w:rPr>
                <w:szCs w:val="24"/>
              </w:rPr>
              <w:t xml:space="preserve"> učenika koji su raspoređeni u 3</w:t>
            </w:r>
            <w:r w:rsidR="00A66582">
              <w:rPr>
                <w:szCs w:val="24"/>
              </w:rPr>
              <w:t>2</w:t>
            </w:r>
            <w:r w:rsidR="00765A35" w:rsidRPr="00CE1BDC">
              <w:rPr>
                <w:szCs w:val="24"/>
              </w:rPr>
              <w:t xml:space="preserve"> razredna odjela. Škola ima 6</w:t>
            </w:r>
            <w:r w:rsidR="00CE1BDC" w:rsidRPr="00CE1BDC">
              <w:rPr>
                <w:szCs w:val="24"/>
              </w:rPr>
              <w:t>6</w:t>
            </w:r>
            <w:r w:rsidR="00765A35" w:rsidRPr="00CE1BDC">
              <w:rPr>
                <w:szCs w:val="24"/>
              </w:rPr>
              <w:t xml:space="preserve"> radnika s ugovorom na neodređeno radno vrijeme. U punom radnom vremenu radi 5</w:t>
            </w:r>
            <w:r w:rsidR="00CE1BDC" w:rsidRPr="00CE1BDC">
              <w:rPr>
                <w:szCs w:val="24"/>
              </w:rPr>
              <w:t>5</w:t>
            </w:r>
            <w:r w:rsidR="00765A35" w:rsidRPr="00CE1BDC">
              <w:rPr>
                <w:szCs w:val="24"/>
              </w:rPr>
              <w:t xml:space="preserve"> radnika, a u nepunom radnom vremenu radi 1</w:t>
            </w:r>
            <w:r w:rsidR="00CE1BDC" w:rsidRPr="00CE1BDC">
              <w:rPr>
                <w:szCs w:val="24"/>
              </w:rPr>
              <w:t>1</w:t>
            </w:r>
            <w:r w:rsidR="00765A35" w:rsidRPr="00CE1BDC">
              <w:rPr>
                <w:szCs w:val="24"/>
              </w:rPr>
              <w:t xml:space="preserve"> radnika.</w:t>
            </w:r>
          </w:p>
          <w:p w:rsidR="00E0386E" w:rsidRDefault="00E0386E" w:rsidP="00E0386E">
            <w:pPr>
              <w:spacing w:line="276" w:lineRule="auto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razini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ustrojavaju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organizacijske</w:t>
            </w:r>
            <w:r>
              <w:rPr>
                <w:spacing w:val="-4"/>
              </w:rPr>
              <w:t xml:space="preserve"> </w:t>
            </w:r>
            <w:r>
              <w:t>jedinice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za: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99"/>
            </w:pPr>
            <w:r>
              <w:t>poslove</w:t>
            </w:r>
            <w:r>
              <w:rPr>
                <w:spacing w:val="-6"/>
              </w:rPr>
              <w:t xml:space="preserve"> </w:t>
            </w:r>
            <w:r>
              <w:t>nastave</w:t>
            </w:r>
            <w:r>
              <w:rPr>
                <w:spacing w:val="-5"/>
              </w:rPr>
              <w:t xml:space="preserve"> </w:t>
            </w:r>
            <w:r>
              <w:t>(odgojno-obrazovni</w:t>
            </w:r>
            <w:r>
              <w:rPr>
                <w:spacing w:val="-5"/>
              </w:rPr>
              <w:t xml:space="preserve"> </w:t>
            </w:r>
            <w:r>
              <w:t>rad),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99"/>
            </w:pPr>
            <w:r>
              <w:t>stručno-pedagoške</w:t>
            </w:r>
            <w:r>
              <w:rPr>
                <w:spacing w:val="-7"/>
              </w:rPr>
              <w:t xml:space="preserve"> </w:t>
            </w:r>
            <w:r>
              <w:t>poslove,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before="3" w:line="276" w:lineRule="auto"/>
              <w:ind w:left="599"/>
            </w:pPr>
            <w:r>
              <w:t>financijsko-računovodstvene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administrativno-tehničke</w:t>
            </w:r>
            <w:r>
              <w:rPr>
                <w:spacing w:val="-8"/>
              </w:rPr>
              <w:t xml:space="preserve"> </w:t>
            </w:r>
            <w:r w:rsidR="00A66582">
              <w:t>poslove.</w:t>
            </w:r>
          </w:p>
          <w:p w:rsidR="00E0386E" w:rsidRDefault="00E0386E" w:rsidP="00E0386E">
            <w:pPr>
              <w:spacing w:line="276" w:lineRule="auto"/>
              <w:ind w:left="32" w:right="248"/>
              <w:jc w:val="both"/>
            </w:pPr>
            <w:r>
              <w:t>Održavanje sjednica stručnih,</w:t>
            </w:r>
            <w:r>
              <w:rPr>
                <w:spacing w:val="1"/>
              </w:rPr>
              <w:t xml:space="preserve"> </w:t>
            </w:r>
            <w:r>
              <w:t>razrednih, učiteljskog vijeća i</w:t>
            </w:r>
            <w:r>
              <w:rPr>
                <w:spacing w:val="1"/>
              </w:rPr>
              <w:t xml:space="preserve"> </w:t>
            </w:r>
            <w:r>
              <w:t>tijela</w:t>
            </w:r>
            <w:r>
              <w:rPr>
                <w:spacing w:val="1"/>
              </w:rPr>
              <w:t xml:space="preserve"> </w:t>
            </w:r>
            <w:r>
              <w:t>upravljanja</w:t>
            </w:r>
            <w:r>
              <w:rPr>
                <w:spacing w:val="1"/>
              </w:rPr>
              <w:t xml:space="preserve"> </w:t>
            </w:r>
            <w:r>
              <w:t>održavaju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međusmjenski</w:t>
            </w:r>
            <w:r>
              <w:rPr>
                <w:spacing w:val="1"/>
              </w:rPr>
              <w:t xml:space="preserve"> </w:t>
            </w:r>
            <w:r>
              <w:t>ili</w:t>
            </w:r>
            <w:r>
              <w:rPr>
                <w:spacing w:val="1"/>
              </w:rPr>
              <w:t xml:space="preserve"> u jutarnjoj smjeni za vrijeme praznika.</w:t>
            </w:r>
          </w:p>
          <w:p w:rsidR="00E0386E" w:rsidRDefault="00E0386E" w:rsidP="00E0386E">
            <w:pPr>
              <w:pStyle w:val="Tijeloteksta"/>
              <w:spacing w:before="9"/>
              <w:rPr>
                <w:sz w:val="19"/>
              </w:rPr>
            </w:pPr>
          </w:p>
          <w:p w:rsidR="00E0386E" w:rsidRDefault="00E0386E" w:rsidP="00E0386E">
            <w:pPr>
              <w:pStyle w:val="Odlomakpopisa"/>
              <w:spacing w:line="252" w:lineRule="exact"/>
              <w:ind w:left="599"/>
            </w:pPr>
          </w:p>
          <w:p w:rsidR="00765A35" w:rsidRDefault="00765A35" w:rsidP="00E0386E">
            <w:pPr>
              <w:rPr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color w:val="FF0000"/>
                <w:sz w:val="20"/>
              </w:rPr>
            </w:pPr>
          </w:p>
          <w:p w:rsidR="00765A35" w:rsidRPr="006B6C24" w:rsidRDefault="00765A35" w:rsidP="00781205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"/>
              <w:gridCol w:w="2137"/>
              <w:gridCol w:w="1356"/>
              <w:gridCol w:w="1356"/>
              <w:gridCol w:w="1483"/>
            </w:tblGrid>
            <w:tr w:rsidR="00765A35" w:rsidRPr="006B6C24" w:rsidTr="00482F98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482F98" w:rsidRDefault="00CF082E" w:rsidP="00A66582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482F98">
                    <w:rPr>
                      <w:rFonts w:ascii="Times New Roman" w:hAnsi="Times New Roman"/>
                      <w:color w:val="auto"/>
                      <w:sz w:val="20"/>
                    </w:rPr>
                    <w:t xml:space="preserve">Plan </w:t>
                  </w:r>
                  <w:r w:rsidR="00765A35" w:rsidRPr="00482F98">
                    <w:rPr>
                      <w:rFonts w:ascii="Times New Roman" w:hAnsi="Times New Roman"/>
                      <w:color w:val="auto"/>
                      <w:sz w:val="20"/>
                    </w:rPr>
                    <w:t>202</w:t>
                  </w:r>
                  <w:r w:rsidR="00A66582">
                    <w:rPr>
                      <w:rFonts w:ascii="Times New Roman" w:hAnsi="Times New Roman"/>
                      <w:color w:val="auto"/>
                      <w:sz w:val="20"/>
                    </w:rPr>
                    <w:t>5</w:t>
                  </w:r>
                  <w:r w:rsidR="00765A35" w:rsidRPr="00482F98">
                    <w:rPr>
                      <w:rFonts w:ascii="Times New Roman" w:hAnsi="Times New Roman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5C387B" w:rsidRDefault="00CF082E" w:rsidP="00482F98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5C387B">
                    <w:rPr>
                      <w:rFonts w:ascii="Times New Roman" w:hAnsi="Times New Roman"/>
                      <w:color w:val="auto"/>
                      <w:sz w:val="20"/>
                    </w:rPr>
                    <w:t>Izvršenje</w:t>
                  </w:r>
                </w:p>
                <w:p w:rsidR="00CF082E" w:rsidRPr="00F52E93" w:rsidRDefault="00CF082E" w:rsidP="00A66582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5C387B">
                    <w:rPr>
                      <w:sz w:val="20"/>
                    </w:rPr>
                    <w:t>1.-</w:t>
                  </w:r>
                  <w:r w:rsidR="00A66582">
                    <w:rPr>
                      <w:sz w:val="20"/>
                    </w:rPr>
                    <w:t>6.</w:t>
                  </w:r>
                  <w:r w:rsidRPr="005C387B">
                    <w:rPr>
                      <w:sz w:val="20"/>
                    </w:rPr>
                    <w:t xml:space="preserve"> 202</w:t>
                  </w:r>
                  <w:r w:rsidR="00A66582">
                    <w:rPr>
                      <w:sz w:val="20"/>
                    </w:rPr>
                    <w:t>5</w:t>
                  </w:r>
                  <w:r w:rsidRPr="005C387B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F52E93" w:rsidRDefault="00CF082E" w:rsidP="00482F98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F52E93">
                    <w:rPr>
                      <w:rFonts w:ascii="Times New Roman" w:hAnsi="Times New Roman"/>
                      <w:color w:val="auto"/>
                      <w:sz w:val="20"/>
                    </w:rPr>
                    <w:t>Indeks</w:t>
                  </w:r>
                </w:p>
                <w:p w:rsidR="00CF082E" w:rsidRPr="00F52E93" w:rsidRDefault="00CF082E" w:rsidP="00482F98">
                  <w:pPr>
                    <w:jc w:val="center"/>
                    <w:rPr>
                      <w:sz w:val="20"/>
                    </w:rPr>
                  </w:pPr>
                  <w:r w:rsidRPr="00F52E93">
                    <w:rPr>
                      <w:sz w:val="20"/>
                    </w:rPr>
                    <w:t>(Izvšenje//Plan)</w:t>
                  </w:r>
                </w:p>
              </w:tc>
            </w:tr>
            <w:tr w:rsidR="00765A35" w:rsidRPr="006B6C24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 xml:space="preserve">Program 7006 </w:t>
                  </w:r>
                  <w:r w:rsidRPr="006C0D06">
                    <w:rPr>
                      <w:i/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F52E9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81.338</w:t>
                  </w:r>
                  <w:r w:rsidR="00765A35" w:rsidRPr="006C0D06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6C0D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44.722,93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5E31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54,98</w:t>
                  </w:r>
                  <w:r w:rsidR="00DA3D1C">
                    <w:rPr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b/>
                      <w:i/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>Program 7011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2.124.112</w:t>
                  </w:r>
                  <w:r w:rsidR="00F52E93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3A391D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  <w:r w:rsidR="003A391D">
                    <w:rPr>
                      <w:bCs/>
                      <w:sz w:val="20"/>
                    </w:rPr>
                    <w:t>172.596,58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5E311D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55,20</w:t>
                  </w:r>
                  <w:r w:rsidR="00DA3D1C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b/>
                      <w:i/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>Program 1207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Razvoj odgojno-obrazovnog sustava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18.228</w:t>
                  </w:r>
                  <w:r w:rsidR="00F52E93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9.765,03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3A391D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53,57</w:t>
                  </w:r>
                  <w:r w:rsidR="00DA3D1C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78120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bCs/>
                      <w:sz w:val="20"/>
                    </w:rPr>
                  </w:pPr>
                  <w:r w:rsidRPr="006C0D06">
                    <w:rPr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F52E93" w:rsidP="003A391D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2.</w:t>
                  </w:r>
                  <w:r w:rsidR="003A391D">
                    <w:rPr>
                      <w:b/>
                      <w:bCs/>
                      <w:sz w:val="20"/>
                    </w:rPr>
                    <w:t>223</w:t>
                  </w:r>
                  <w:r w:rsidR="005E311D">
                    <w:rPr>
                      <w:b/>
                      <w:bCs/>
                      <w:sz w:val="20"/>
                    </w:rPr>
                    <w:t>.67</w:t>
                  </w:r>
                  <w:r w:rsidR="003A391D">
                    <w:rPr>
                      <w:b/>
                      <w:bCs/>
                      <w:sz w:val="20"/>
                    </w:rPr>
                    <w:t>8</w:t>
                  </w:r>
                  <w:r w:rsidR="00DA3D1C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3A391D" w:rsidP="003A391D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</w:t>
                  </w:r>
                  <w:r w:rsidR="005E311D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227</w:t>
                  </w:r>
                  <w:r w:rsidR="005E311D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084</w:t>
                  </w:r>
                  <w:r w:rsidR="00F52E93">
                    <w:rPr>
                      <w:b/>
                      <w:bCs/>
                      <w:sz w:val="20"/>
                    </w:rPr>
                    <w:t>,</w:t>
                  </w:r>
                  <w:r>
                    <w:rPr>
                      <w:b/>
                      <w:bCs/>
                      <w:sz w:val="20"/>
                    </w:rPr>
                    <w:t>54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3A391D" w:rsidP="003A391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55</w:t>
                  </w:r>
                  <w:r w:rsidR="005E311D">
                    <w:rPr>
                      <w:b/>
                      <w:bCs/>
                      <w:sz w:val="20"/>
                    </w:rPr>
                    <w:t>,1</w:t>
                  </w:r>
                  <w:r>
                    <w:rPr>
                      <w:b/>
                      <w:bCs/>
                      <w:sz w:val="20"/>
                    </w:rPr>
                    <w:t>8</w:t>
                  </w:r>
                  <w:r w:rsidR="00DA3D1C">
                    <w:rPr>
                      <w:b/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765A35" w:rsidRPr="006B6C24" w:rsidRDefault="00765A35" w:rsidP="00781205">
            <w:pPr>
              <w:rPr>
                <w:sz w:val="20"/>
              </w:rPr>
            </w:pPr>
          </w:p>
        </w:tc>
      </w:tr>
    </w:tbl>
    <w:p w:rsidR="00765A35" w:rsidRDefault="00765A35">
      <w:pPr>
        <w:spacing w:line="259" w:lineRule="auto"/>
        <w:rPr>
          <w:rFonts w:ascii="Calibri" w:hAnsi="Calibri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83"/>
        <w:gridCol w:w="7417"/>
      </w:tblGrid>
      <w:tr w:rsidR="00CF082E" w:rsidRPr="006B6C24" w:rsidTr="008171A3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0"/>
              <w:rPr>
                <w:i w:val="0"/>
              </w:rPr>
            </w:pPr>
            <w:r w:rsidRPr="002C152C">
              <w:rPr>
                <w:i w:val="0"/>
              </w:rPr>
              <w:t>NAZIV PROGRAMA:</w:t>
            </w:r>
          </w:p>
          <w:p w:rsidR="005E311D" w:rsidRDefault="005E311D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873596" w:rsidRDefault="00873596" w:rsidP="00781205">
            <w:pPr>
              <w:rPr>
                <w:bCs/>
                <w:sz w:val="20"/>
              </w:rPr>
            </w:pPr>
          </w:p>
          <w:p w:rsidR="00873596" w:rsidRDefault="00873596" w:rsidP="00781205">
            <w:pPr>
              <w:rPr>
                <w:bCs/>
                <w:sz w:val="20"/>
              </w:rPr>
            </w:pPr>
          </w:p>
          <w:p w:rsidR="00873596" w:rsidRDefault="00873596" w:rsidP="00781205">
            <w:pPr>
              <w:rPr>
                <w:bCs/>
                <w:sz w:val="20"/>
              </w:rPr>
            </w:pPr>
          </w:p>
          <w:p w:rsidR="00873596" w:rsidRDefault="00873596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172BC1" w:rsidRDefault="00172BC1" w:rsidP="00172BC1">
            <w:pPr>
              <w:rPr>
                <w:bCs/>
                <w:color w:val="FF0000"/>
                <w:sz w:val="20"/>
              </w:rPr>
            </w:pPr>
          </w:p>
          <w:p w:rsidR="00DA3D1C" w:rsidRDefault="00DA3D1C" w:rsidP="00172BC1">
            <w:pPr>
              <w:rPr>
                <w:bCs/>
                <w:color w:val="FF0000"/>
                <w:sz w:val="20"/>
              </w:rPr>
            </w:pPr>
          </w:p>
          <w:p w:rsidR="00DA3D1C" w:rsidRDefault="00DA3D1C" w:rsidP="00172BC1">
            <w:pPr>
              <w:rPr>
                <w:bCs/>
                <w:color w:val="FF0000"/>
                <w:sz w:val="20"/>
              </w:rPr>
            </w:pPr>
          </w:p>
          <w:p w:rsidR="00172BC1" w:rsidRPr="005C387B" w:rsidRDefault="00172BC1" w:rsidP="003052C7">
            <w:pPr>
              <w:ind w:right="-102"/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t>I</w:t>
            </w:r>
            <w:r w:rsidR="003052C7">
              <w:rPr>
                <w:bCs/>
                <w:sz w:val="20"/>
              </w:rPr>
              <w:t>ZVRŠENJE</w:t>
            </w:r>
            <w:r w:rsidRPr="005C387B">
              <w:rPr>
                <w:bCs/>
                <w:sz w:val="20"/>
              </w:rPr>
              <w:t xml:space="preserve"> 1.-</w:t>
            </w:r>
            <w:r w:rsidR="003052C7">
              <w:rPr>
                <w:bCs/>
                <w:sz w:val="20"/>
              </w:rPr>
              <w:t>6</w:t>
            </w:r>
            <w:r w:rsidRPr="005C387B">
              <w:rPr>
                <w:bCs/>
                <w:sz w:val="20"/>
              </w:rPr>
              <w:t>.202</w:t>
            </w:r>
            <w:r w:rsidR="00A66582">
              <w:rPr>
                <w:bCs/>
                <w:sz w:val="20"/>
              </w:rPr>
              <w:t>5</w:t>
            </w:r>
            <w:r w:rsidRPr="005C387B">
              <w:rPr>
                <w:bCs/>
                <w:sz w:val="20"/>
              </w:rPr>
              <w:t>.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CB6BE5" w:rsidRDefault="00CF082E" w:rsidP="0078120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FINANCIRANJE OSNOVNOG ŠKOLS</w:t>
            </w:r>
            <w:r w:rsidRPr="00CB6BE5">
              <w:rPr>
                <w:b/>
                <w:i/>
                <w:sz w:val="20"/>
              </w:rPr>
              <w:t>TVA PREMA MINIMALNOM STANDARDU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873596" w:rsidRDefault="00873596" w:rsidP="00781205">
            <w:pPr>
              <w:tabs>
                <w:tab w:val="left" w:pos="781"/>
              </w:tabs>
              <w:adjustRightInd w:val="0"/>
              <w:rPr>
                <w:szCs w:val="24"/>
              </w:rPr>
            </w:pPr>
          </w:p>
          <w:p w:rsidR="00CF082E" w:rsidRPr="00160712" w:rsidRDefault="00CF082E" w:rsidP="00781205">
            <w:pPr>
              <w:tabs>
                <w:tab w:val="left" w:pos="781"/>
              </w:tabs>
              <w:adjustRightInd w:val="0"/>
              <w:rPr>
                <w:szCs w:val="24"/>
              </w:rPr>
            </w:pPr>
            <w:r w:rsidRPr="00160712">
              <w:rPr>
                <w:szCs w:val="24"/>
              </w:rPr>
              <w:t xml:space="preserve">Osnovnoškolski odgoj i obrazovanje učenika koje se ostvaruje kroz: 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stalno usavršavanje nastavnog kadra te podizanje nastavnog standarda na višu razinu,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poticanje učenika na izražavanje kreativnosti, talenata i  sposobnosti kroz uključivanje u slobodne aktivnosti, natjecanja, prijave na literarne i likovne natječaje, školske projekte, priredbe i manifestacije u školi i općini,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poticanje za sudjelovanje na sportskim aktivnostima, uključivanje kroz natjecanja na školskoj razini i šire,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organiziranje zajedničkih aktivnosti učenika i nastavnika tijekom izvannastavnih aktivnosti i druženja kroz kolektivno upoznavanje kulturne i duhovne baštine,</w:t>
            </w:r>
          </w:p>
          <w:p w:rsidR="00CF082E" w:rsidRPr="00160712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 w:rsidRPr="00160712">
              <w:rPr>
                <w:szCs w:val="24"/>
              </w:rPr>
              <w:t>poticanje razvoja pozitivnih vrijednosti i natjecateljskog duha kroz razne nagrade  najuspješnijim razredima, grupama i pojedincima.</w:t>
            </w:r>
          </w:p>
          <w:p w:rsidR="00E0386E" w:rsidRPr="00160712" w:rsidRDefault="00E0386E" w:rsidP="00781205">
            <w:pPr>
              <w:rPr>
                <w:szCs w:val="24"/>
              </w:rPr>
            </w:pPr>
          </w:p>
          <w:p w:rsidR="00CF082E" w:rsidRPr="00160712" w:rsidRDefault="00CF082E" w:rsidP="00781205">
            <w:pPr>
              <w:rPr>
                <w:szCs w:val="24"/>
              </w:rPr>
            </w:pPr>
            <w:r w:rsidRPr="00160712">
              <w:rPr>
                <w:szCs w:val="24"/>
              </w:rPr>
              <w:t>Cilj programa:</w:t>
            </w:r>
          </w:p>
          <w:p w:rsidR="00CF082E" w:rsidRPr="00160712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160712">
              <w:rPr>
                <w:szCs w:val="24"/>
              </w:rPr>
              <w:t>osiguravanje uvjeta za izvođenje obveznog programa na propisanoj razini te njegovo obuhvaćanje sadržajima po mjeri djece.</w:t>
            </w:r>
          </w:p>
          <w:p w:rsidR="00CF082E" w:rsidRPr="00160712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160712">
              <w:rPr>
                <w:szCs w:val="24"/>
              </w:rPr>
              <w:t>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 w:rsidR="00CF082E" w:rsidRPr="00160712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160712">
              <w:rPr>
                <w:szCs w:val="24"/>
              </w:rPr>
              <w:t xml:space="preserve">stvaranje kvalitetnih uvjeta za rad škole vodeći brigu o ravnomjernom razvoju koji će omogućiti izvođenje suvremene nastave te poboljšati standard postojećih školskih zgrada i opreme.  </w:t>
            </w:r>
          </w:p>
          <w:p w:rsidR="00CF082E" w:rsidRPr="00160712" w:rsidRDefault="00CF082E" w:rsidP="00781205">
            <w:pPr>
              <w:rPr>
                <w:sz w:val="20"/>
              </w:rPr>
            </w:pP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6B6C24" w:rsidRDefault="00CF082E" w:rsidP="00781205">
            <w:pPr>
              <w:rPr>
                <w:sz w:val="20"/>
              </w:rPr>
            </w:pPr>
          </w:p>
          <w:p w:rsidR="00CF082E" w:rsidRPr="00713802" w:rsidRDefault="00CF082E" w:rsidP="00781205">
            <w:pPr>
              <w:rPr>
                <w:szCs w:val="24"/>
              </w:rPr>
            </w:pPr>
            <w:r w:rsidRPr="00713802">
              <w:rPr>
                <w:szCs w:val="24"/>
              </w:rPr>
              <w:t>Zakonska i druga pravna osnova za provođenje programa</w:t>
            </w:r>
          </w:p>
          <w:p w:rsidR="00CF082E" w:rsidRPr="00713802" w:rsidRDefault="00CF082E" w:rsidP="00781205">
            <w:pPr>
              <w:tabs>
                <w:tab w:val="left" w:pos="781"/>
              </w:tabs>
              <w:adjustRightInd w:val="0"/>
              <w:ind w:left="360"/>
              <w:rPr>
                <w:szCs w:val="24"/>
              </w:rPr>
            </w:pPr>
          </w:p>
          <w:p w:rsidR="005C387B" w:rsidRPr="00713802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713802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5C387B" w:rsidRPr="00713802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713802">
              <w:rPr>
                <w:sz w:val="20"/>
              </w:rPr>
              <w:t>Zakon o ustanovama (Narodne novine broj 76/93, 29/97,47/99, 35/08, 127/19 i 151/22)</w:t>
            </w:r>
          </w:p>
          <w:p w:rsidR="005C387B" w:rsidRPr="00713802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713802">
              <w:rPr>
                <w:sz w:val="20"/>
              </w:rPr>
              <w:t>Zakon o proračunu (Narodne novine broj 87/08, 136/12, 15/15 i 144/21), Pravilnik o proračunskim klasifikacijama (Narodne novine broj 26/10, 120/13</w:t>
            </w:r>
            <w:r w:rsidR="005E311D" w:rsidRPr="00713802">
              <w:rPr>
                <w:sz w:val="20"/>
              </w:rPr>
              <w:t xml:space="preserve">, </w:t>
            </w:r>
            <w:r w:rsidRPr="00713802">
              <w:rPr>
                <w:sz w:val="20"/>
              </w:rPr>
              <w:t>1/20</w:t>
            </w:r>
            <w:r w:rsidR="005E311D" w:rsidRPr="00713802">
              <w:rPr>
                <w:sz w:val="20"/>
              </w:rPr>
              <w:t xml:space="preserve"> i 4/24</w:t>
            </w:r>
            <w:r w:rsidRPr="00713802">
              <w:rPr>
                <w:sz w:val="20"/>
              </w:rPr>
              <w:t>), Pravilnik o proračunskom računovodstvu i računskom planu (Narodne novine broj 124/14, 115/15, 87/16, 003/18, 126/19, 108/20 i 158/23), Zakon o fiskalnoj odgovornosti (Narodne novine broj 111/18</w:t>
            </w:r>
            <w:r w:rsidR="005E311D" w:rsidRPr="00713802">
              <w:rPr>
                <w:sz w:val="20"/>
              </w:rPr>
              <w:t xml:space="preserve"> i 83/23</w:t>
            </w:r>
            <w:r w:rsidRPr="00713802">
              <w:rPr>
                <w:sz w:val="20"/>
              </w:rPr>
              <w:t>)</w:t>
            </w:r>
          </w:p>
          <w:p w:rsidR="005C387B" w:rsidRPr="00713802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713802">
              <w:rPr>
                <w:sz w:val="20"/>
              </w:rPr>
              <w:t>Upute za izradu Proračuna Osječko-baranjske županije za razdoblje 202</w:t>
            </w:r>
            <w:r w:rsidR="002A3DC1" w:rsidRPr="00713802">
              <w:rPr>
                <w:sz w:val="20"/>
              </w:rPr>
              <w:t>5</w:t>
            </w:r>
            <w:r w:rsidRPr="00713802">
              <w:rPr>
                <w:sz w:val="20"/>
              </w:rPr>
              <w:t>.-202</w:t>
            </w:r>
            <w:r w:rsidR="002A3DC1" w:rsidRPr="00713802">
              <w:rPr>
                <w:sz w:val="20"/>
              </w:rPr>
              <w:t>7</w:t>
            </w:r>
            <w:r w:rsidRPr="00713802">
              <w:rPr>
                <w:sz w:val="20"/>
              </w:rPr>
              <w:t xml:space="preserve">.  (dopis Upravnog odjela za obrazovanje od </w:t>
            </w:r>
            <w:r w:rsidR="002A3DC1" w:rsidRPr="00713802">
              <w:rPr>
                <w:sz w:val="20"/>
              </w:rPr>
              <w:t>30</w:t>
            </w:r>
            <w:r w:rsidRPr="00713802">
              <w:rPr>
                <w:sz w:val="20"/>
              </w:rPr>
              <w:t>. rujna 202</w:t>
            </w:r>
            <w:r w:rsidR="002A3DC1" w:rsidRPr="00713802">
              <w:rPr>
                <w:sz w:val="20"/>
              </w:rPr>
              <w:t>4</w:t>
            </w:r>
            <w:r w:rsidRPr="00713802">
              <w:rPr>
                <w:sz w:val="20"/>
              </w:rPr>
              <w:t>.)</w:t>
            </w:r>
          </w:p>
          <w:p w:rsidR="00713802" w:rsidRPr="00713802" w:rsidRDefault="00713802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color w:val="FF0000"/>
                <w:sz w:val="20"/>
              </w:rPr>
            </w:pPr>
            <w:r w:rsidRPr="00713802">
              <w:rPr>
                <w:sz w:val="20"/>
              </w:rPr>
              <w:t xml:space="preserve">Godišnji plan i program rada škole, Školski kurikulum Osnovne škole Josipa </w:t>
            </w:r>
            <w:r w:rsidRPr="003052C7">
              <w:rPr>
                <w:sz w:val="20"/>
              </w:rPr>
              <w:t>Kozarca, Semeljci, za školsku godinu 2024./2025.</w:t>
            </w:r>
          </w:p>
          <w:p w:rsidR="005C387B" w:rsidRPr="005C387B" w:rsidRDefault="005C387B" w:rsidP="005C387B">
            <w:pPr>
              <w:rPr>
                <w:sz w:val="20"/>
              </w:rPr>
            </w:pPr>
          </w:p>
          <w:p w:rsidR="00CF082E" w:rsidRPr="008D70DD" w:rsidRDefault="00CF082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"/>
              <w:gridCol w:w="2269"/>
              <w:gridCol w:w="1016"/>
              <w:gridCol w:w="1268"/>
              <w:gridCol w:w="1678"/>
            </w:tblGrid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8B2939" w:rsidRDefault="00F321D0" w:rsidP="00A66582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Plan 202</w:t>
                  </w:r>
                  <w:r w:rsidR="00A66582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5</w:t>
                  </w:r>
                  <w:r w:rsidR="00172BC1" w:rsidRPr="008B2939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939" w:rsidRPr="005C387B" w:rsidRDefault="00172BC1" w:rsidP="008B2939">
                  <w:pPr>
                    <w:pStyle w:val="TableParagraph"/>
                    <w:ind w:firstLine="36"/>
                    <w:jc w:val="center"/>
                    <w:rPr>
                      <w:spacing w:val="-42"/>
                      <w:sz w:val="20"/>
                    </w:rPr>
                  </w:pPr>
                  <w:r w:rsidRPr="005C387B">
                    <w:rPr>
                      <w:sz w:val="20"/>
                    </w:rPr>
                    <w:t>Izvršenje</w:t>
                  </w:r>
                  <w:r w:rsidRPr="005C387B">
                    <w:rPr>
                      <w:spacing w:val="-42"/>
                      <w:sz w:val="20"/>
                    </w:rPr>
                    <w:t xml:space="preserve"> </w:t>
                  </w:r>
                </w:p>
                <w:p w:rsidR="00172BC1" w:rsidRDefault="00172BC1" w:rsidP="00A66582">
                  <w:pPr>
                    <w:pStyle w:val="TableParagraph"/>
                    <w:ind w:firstLine="36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20"/>
                    </w:rPr>
                    <w:t>1.-</w:t>
                  </w:r>
                  <w:r w:rsidR="00A66582">
                    <w:rPr>
                      <w:sz w:val="20"/>
                    </w:rPr>
                    <w:t>6</w:t>
                  </w:r>
                  <w:r w:rsidRPr="005C387B">
                    <w:rPr>
                      <w:sz w:val="20"/>
                    </w:rPr>
                    <w:t>.202</w:t>
                  </w:r>
                  <w:r w:rsidR="00A66582">
                    <w:rPr>
                      <w:sz w:val="20"/>
                    </w:rPr>
                    <w:t>5</w:t>
                  </w:r>
                  <w:r w:rsidRPr="005C387B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BC1" w:rsidRDefault="00172BC1" w:rsidP="00172BC1">
                  <w:pPr>
                    <w:pStyle w:val="TableParagraph"/>
                    <w:spacing w:line="228" w:lineRule="exact"/>
                    <w:ind w:left="108" w:right="92" w:firstLine="372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Indeks</w:t>
                  </w:r>
                  <w:r w:rsidRPr="00BB1A9D">
                    <w:rPr>
                      <w:spacing w:val="1"/>
                      <w:sz w:val="20"/>
                    </w:rPr>
                    <w:t xml:space="preserve"> </w:t>
                  </w:r>
                  <w:r w:rsidRPr="00BB1A9D">
                    <w:rPr>
                      <w:spacing w:val="-1"/>
                      <w:sz w:val="20"/>
                    </w:rPr>
                    <w:t>(Izvršenje/Plan</w:t>
                  </w:r>
                  <w:r>
                    <w:rPr>
                      <w:color w:val="FF0000"/>
                      <w:spacing w:val="-1"/>
                      <w:sz w:val="20"/>
                    </w:rPr>
                    <w:t>)</w:t>
                  </w:r>
                </w:p>
              </w:tc>
            </w:tr>
            <w:tr w:rsidR="00610A66" w:rsidRPr="006B6C24" w:rsidTr="008B2939">
              <w:trPr>
                <w:cantSplit/>
                <w:trHeight w:val="90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</w:t>
                  </w:r>
                </w:p>
                <w:p w:rsidR="00610A66" w:rsidRDefault="00DA3D1C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</w:t>
                  </w:r>
                  <w:r w:rsidR="00610A66">
                    <w:rPr>
                      <w:sz w:val="20"/>
                    </w:rPr>
                    <w:t xml:space="preserve"> PRIHODI ZA POSEBNE </w:t>
                  </w:r>
                  <w:r w:rsidR="001C4EEF">
                    <w:rPr>
                      <w:sz w:val="20"/>
                    </w:rPr>
                    <w:t>N</w:t>
                  </w:r>
                  <w:r w:rsidR="00610A66">
                    <w:rPr>
                      <w:sz w:val="20"/>
                    </w:rPr>
                    <w:t xml:space="preserve">AMJENE </w:t>
                  </w:r>
                </w:p>
                <w:p w:rsidR="00610A66" w:rsidRPr="006B6C24" w:rsidRDefault="00610A66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DA3D1C" w:rsidP="007138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="00713802">
                    <w:rPr>
                      <w:sz w:val="20"/>
                    </w:rPr>
                    <w:t>50</w:t>
                  </w:r>
                  <w:r w:rsidR="001C4EEF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7138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="00713802">
                    <w:rPr>
                      <w:sz w:val="20"/>
                    </w:rPr>
                    <w:t>178</w:t>
                  </w:r>
                  <w:r w:rsidR="001C4EEF">
                    <w:rPr>
                      <w:sz w:val="20"/>
                    </w:rPr>
                    <w:t>,</w:t>
                  </w:r>
                  <w:r w:rsidR="00713802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78,56</w:t>
                  </w:r>
                  <w:r w:rsidR="00DA3D1C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  <w:p w:rsidR="008171A3" w:rsidRDefault="00153AF9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</w:t>
                  </w:r>
                  <w:r w:rsidR="00BB1A9D">
                    <w:rPr>
                      <w:sz w:val="20"/>
                    </w:rPr>
                    <w:t>1</w:t>
                  </w:r>
                  <w:r w:rsidR="008171A3">
                    <w:rPr>
                      <w:sz w:val="20"/>
                    </w:rPr>
                    <w:t xml:space="preserve"> PRIHODI ZA POSEBNE </w:t>
                  </w:r>
                  <w:r w:rsidR="001C4EEF">
                    <w:rPr>
                      <w:sz w:val="20"/>
                    </w:rPr>
                    <w:t>N</w:t>
                  </w:r>
                  <w:r w:rsidR="008171A3">
                    <w:rPr>
                      <w:sz w:val="20"/>
                    </w:rPr>
                    <w:t xml:space="preserve">AMJENE </w:t>
                  </w:r>
                </w:p>
                <w:p w:rsidR="008171A3" w:rsidRDefault="008171A3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36.144</w:t>
                  </w:r>
                  <w:r w:rsidR="00153AF9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7138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17.371</w:t>
                  </w:r>
                  <w:r w:rsidR="00BB1A9D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94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AF9" w:rsidRPr="004C44BC" w:rsidRDefault="00713802" w:rsidP="00153AF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48,06</w:t>
                  </w:r>
                  <w:r w:rsidR="00153AF9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</w:t>
                  </w:r>
                </w:p>
                <w:p w:rsidR="008171A3" w:rsidRDefault="00153AF9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</w:t>
                  </w:r>
                  <w:r w:rsidR="008171A3">
                    <w:rPr>
                      <w:sz w:val="20"/>
                    </w:rPr>
                    <w:t xml:space="preserve"> PRIHODI ZA POSEBNE </w:t>
                  </w:r>
                  <w:r w:rsidR="001C4EEF">
                    <w:rPr>
                      <w:sz w:val="20"/>
                    </w:rPr>
                    <w:t>N</w:t>
                  </w:r>
                  <w:r w:rsidR="008171A3">
                    <w:rPr>
                      <w:sz w:val="20"/>
                    </w:rPr>
                    <w:t xml:space="preserve">AMJENE </w:t>
                  </w:r>
                </w:p>
                <w:p w:rsidR="008171A3" w:rsidRDefault="008171A3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43.694</w:t>
                  </w:r>
                  <w:r w:rsidR="00BB1A9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26.172,66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59,90</w:t>
                  </w:r>
                  <w:r w:rsidR="00153AF9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Pr="006B6C24" w:rsidRDefault="00CF082E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Pr="003767AE" w:rsidRDefault="00CF082E" w:rsidP="00781205">
                  <w:pPr>
                    <w:rPr>
                      <w:b/>
                      <w:bCs/>
                      <w:sz w:val="20"/>
                    </w:rPr>
                  </w:pPr>
                  <w:r w:rsidRPr="003767AE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71380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81</w:t>
                  </w:r>
                  <w:r w:rsidR="001C4EEF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33</w:t>
                  </w:r>
                  <w:r w:rsidR="001C4EEF">
                    <w:rPr>
                      <w:b/>
                      <w:bCs/>
                      <w:sz w:val="20"/>
                    </w:rPr>
                    <w:t>8</w:t>
                  </w:r>
                  <w:r w:rsidR="00153AF9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610A6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44.722,93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713802" w:rsidP="00610A6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54,98</w:t>
                  </w:r>
                  <w:r w:rsidR="00153AF9">
                    <w:rPr>
                      <w:b/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153AF9" w:rsidRDefault="00153AF9" w:rsidP="00781205">
            <w:pPr>
              <w:rPr>
                <w:bCs/>
                <w:sz w:val="20"/>
              </w:rPr>
            </w:pPr>
          </w:p>
          <w:p w:rsidR="00CF082E" w:rsidRDefault="00153AF9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Program je ostvaren u iznosu </w:t>
            </w:r>
            <w:r w:rsidR="00713802">
              <w:rPr>
                <w:bCs/>
                <w:sz w:val="20"/>
              </w:rPr>
              <w:t>44</w:t>
            </w:r>
            <w:r w:rsidR="001C4EEF">
              <w:rPr>
                <w:bCs/>
                <w:sz w:val="20"/>
              </w:rPr>
              <w:t>.</w:t>
            </w:r>
            <w:r w:rsidR="00713802">
              <w:rPr>
                <w:bCs/>
                <w:sz w:val="20"/>
              </w:rPr>
              <w:t>722</w:t>
            </w:r>
            <w:r w:rsidR="001C4EEF">
              <w:rPr>
                <w:bCs/>
                <w:sz w:val="20"/>
              </w:rPr>
              <w:t>,</w:t>
            </w:r>
            <w:r w:rsidR="00713802">
              <w:rPr>
                <w:bCs/>
                <w:sz w:val="20"/>
              </w:rPr>
              <w:t>3</w:t>
            </w:r>
            <w:r w:rsidR="001C4EEF">
              <w:rPr>
                <w:bCs/>
                <w:sz w:val="20"/>
              </w:rPr>
              <w:t>3</w:t>
            </w:r>
            <w:r w:rsidR="00BB1A9D">
              <w:rPr>
                <w:bCs/>
                <w:sz w:val="20"/>
              </w:rPr>
              <w:t xml:space="preserve"> eura</w:t>
            </w:r>
            <w:r>
              <w:rPr>
                <w:bCs/>
                <w:sz w:val="20"/>
              </w:rPr>
              <w:t xml:space="preserve"> ili </w:t>
            </w:r>
            <w:r w:rsidR="00713802">
              <w:rPr>
                <w:bCs/>
                <w:sz w:val="20"/>
              </w:rPr>
              <w:t>54,98</w:t>
            </w:r>
            <w:r>
              <w:rPr>
                <w:bCs/>
                <w:sz w:val="20"/>
              </w:rPr>
              <w:t xml:space="preserve"> %</w:t>
            </w:r>
            <w:r w:rsidR="00BB1A9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u odnosu na godišnji plan.</w:t>
            </w:r>
          </w:p>
          <w:p w:rsidR="00153AF9" w:rsidRDefault="00153AF9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Aktivnosti i projekti izvršeni su u skladu s planiranom dinamikom.</w:t>
            </w:r>
          </w:p>
          <w:p w:rsidR="00BB1A9D" w:rsidRDefault="00BB1A9D" w:rsidP="005005AB">
            <w:pPr>
              <w:rPr>
                <w:sz w:val="20"/>
              </w:rPr>
            </w:pPr>
          </w:p>
          <w:p w:rsidR="00306B8B" w:rsidRDefault="00306B8B" w:rsidP="005005AB">
            <w:pPr>
              <w:rPr>
                <w:sz w:val="20"/>
              </w:rPr>
            </w:pPr>
          </w:p>
          <w:p w:rsidR="00153AF9" w:rsidRPr="005005AB" w:rsidRDefault="00153AF9" w:rsidP="005005AB">
            <w:pPr>
              <w:rPr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68"/>
              <w:gridCol w:w="1847"/>
              <w:gridCol w:w="1843"/>
              <w:gridCol w:w="1418"/>
            </w:tblGrid>
            <w:tr w:rsidR="008171A3" w:rsidRPr="006B6C24" w:rsidTr="007E4861">
              <w:trPr>
                <w:cantSplit/>
                <w:trHeight w:val="1012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781205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Polazna</w:t>
                  </w:r>
                </w:p>
                <w:p w:rsidR="008171A3" w:rsidRPr="005005AB" w:rsidRDefault="008171A3" w:rsidP="008171A3">
                  <w:pPr>
                    <w:jc w:val="center"/>
                    <w:rPr>
                      <w:sz w:val="20"/>
                    </w:rPr>
                  </w:pPr>
                  <w:r w:rsidRPr="005005AB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Ciljana</w:t>
                  </w:r>
                </w:p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vrijednost</w:t>
                  </w:r>
                </w:p>
                <w:p w:rsidR="008171A3" w:rsidRPr="005005AB" w:rsidRDefault="008171A3" w:rsidP="00A66582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202</w:t>
                  </w:r>
                  <w:r w:rsidR="00A66582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5</w:t>
                  </w: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Ostvarena</w:t>
                  </w:r>
                </w:p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vrijednost</w:t>
                  </w:r>
                </w:p>
                <w:p w:rsidR="008171A3" w:rsidRPr="005005AB" w:rsidRDefault="008171A3" w:rsidP="00A66582">
                  <w:pPr>
                    <w:pStyle w:val="Naslov7"/>
                    <w:ind w:left="28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 xml:space="preserve">1.– </w:t>
                  </w:r>
                  <w:r w:rsidR="00A66582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6</w:t>
                  </w: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 202</w:t>
                  </w:r>
                  <w:r w:rsidR="00A66582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5</w:t>
                  </w: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</w:tr>
            <w:tr w:rsidR="001C4EEF" w:rsidRPr="006B6C24" w:rsidTr="007E4861">
              <w:trPr>
                <w:cantSplit/>
                <w:trHeight w:val="65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EEF" w:rsidRPr="006B6C24" w:rsidRDefault="001C4EEF" w:rsidP="001C4EE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školstva-ostvarenje plana za opremanje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Default="00F30A9B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</w:rPr>
                    <w:t>Nabava nove informatičke opreme i klima uređaja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Default="00F30A9B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1C4EEF">
                    <w:rPr>
                      <w:sz w:val="20"/>
                    </w:rPr>
                    <w:t xml:space="preserve"> računala</w:t>
                  </w:r>
                  <w:r>
                    <w:rPr>
                      <w:sz w:val="20"/>
                    </w:rPr>
                    <w:t xml:space="preserve"> i 2 klima uređaka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323589" w:rsidRDefault="00323589" w:rsidP="00323589">
                  <w:pPr>
                    <w:jc w:val="center"/>
                    <w:rPr>
                      <w:sz w:val="20"/>
                    </w:rPr>
                  </w:pPr>
                  <w:r w:rsidRPr="00323589">
                    <w:rPr>
                      <w:sz w:val="20"/>
                    </w:rPr>
                    <w:t>Barkod čitač, police za arhivu, ljestve, motorna pila</w:t>
                  </w:r>
                </w:p>
              </w:tc>
            </w:tr>
            <w:tr w:rsidR="001C4EEF" w:rsidRPr="006B6C24" w:rsidTr="007E4861">
              <w:trPr>
                <w:cantSplit/>
                <w:trHeight w:val="759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EEF" w:rsidRPr="006B6C24" w:rsidRDefault="001C4EEF" w:rsidP="001C4EE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školstva-povećanje kvalitete odgojno-obrazovnog rada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Default="001C4EEF" w:rsidP="001C4EEF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Broj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učenika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koji</w:t>
                  </w:r>
                  <w:r>
                    <w:rPr>
                      <w:spacing w:val="-37"/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sudjeluju u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natjecanjima,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smotrama 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projektima</w:t>
                  </w:r>
                </w:p>
                <w:p w:rsidR="001C4EEF" w:rsidRPr="00867FCA" w:rsidRDefault="001C4EEF" w:rsidP="00F30A9B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  <w:r w:rsidR="00F30A9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CE1BDC" w:rsidRDefault="001C4EEF" w:rsidP="001C4EEF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 w:rsidRPr="00CE1BDC">
                    <w:rPr>
                      <w:sz w:val="16"/>
                    </w:rPr>
                    <w:t>Broj</w:t>
                  </w:r>
                  <w:r w:rsidRPr="00CE1BDC">
                    <w:rPr>
                      <w:spacing w:val="-9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učenika</w:t>
                  </w:r>
                  <w:r w:rsidRPr="00CE1BDC">
                    <w:rPr>
                      <w:spacing w:val="-8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koji</w:t>
                  </w:r>
                  <w:r w:rsidRPr="00CE1BDC">
                    <w:rPr>
                      <w:spacing w:val="-37"/>
                      <w:sz w:val="16"/>
                    </w:rPr>
                    <w:t xml:space="preserve">  </w:t>
                  </w:r>
                  <w:r w:rsidRPr="00CE1BDC">
                    <w:rPr>
                      <w:sz w:val="16"/>
                    </w:rPr>
                    <w:t>sudjeluju u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natjecanjima,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smotrama i</w:t>
                  </w:r>
                  <w:r w:rsidRPr="00CE1BDC">
                    <w:rPr>
                      <w:spacing w:val="1"/>
                      <w:sz w:val="16"/>
                    </w:rPr>
                    <w:t xml:space="preserve"> </w:t>
                  </w:r>
                  <w:r w:rsidRPr="00CE1BDC">
                    <w:rPr>
                      <w:sz w:val="16"/>
                    </w:rPr>
                    <w:t>projektima</w:t>
                  </w:r>
                </w:p>
                <w:p w:rsidR="001C4EEF" w:rsidRPr="003767AE" w:rsidRDefault="00F30A9B" w:rsidP="001C4EEF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16"/>
                    </w:rPr>
                    <w:t>130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323589" w:rsidRDefault="001C4EEF" w:rsidP="001C4EEF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 w:rsidRPr="00323589">
                    <w:rPr>
                      <w:sz w:val="16"/>
                    </w:rPr>
                    <w:t>Broj</w:t>
                  </w:r>
                  <w:r w:rsidRPr="00323589">
                    <w:rPr>
                      <w:spacing w:val="-9"/>
                      <w:sz w:val="16"/>
                    </w:rPr>
                    <w:t xml:space="preserve"> </w:t>
                  </w:r>
                  <w:r w:rsidRPr="00323589">
                    <w:rPr>
                      <w:sz w:val="16"/>
                    </w:rPr>
                    <w:t>učenika</w:t>
                  </w:r>
                  <w:r w:rsidRPr="00323589">
                    <w:rPr>
                      <w:spacing w:val="-8"/>
                      <w:sz w:val="16"/>
                    </w:rPr>
                    <w:t xml:space="preserve"> </w:t>
                  </w:r>
                  <w:r w:rsidRPr="00323589">
                    <w:rPr>
                      <w:sz w:val="16"/>
                    </w:rPr>
                    <w:t xml:space="preserve">koji </w:t>
                  </w:r>
                  <w:r w:rsidRPr="00323589">
                    <w:rPr>
                      <w:spacing w:val="-37"/>
                      <w:sz w:val="16"/>
                    </w:rPr>
                    <w:t xml:space="preserve">   </w:t>
                  </w:r>
                  <w:r w:rsidRPr="00323589">
                    <w:rPr>
                      <w:sz w:val="16"/>
                    </w:rPr>
                    <w:t>sudjeluju u</w:t>
                  </w:r>
                  <w:r w:rsidRPr="00323589">
                    <w:rPr>
                      <w:spacing w:val="1"/>
                      <w:sz w:val="16"/>
                    </w:rPr>
                    <w:t xml:space="preserve"> </w:t>
                  </w:r>
                  <w:r w:rsidRPr="00323589">
                    <w:rPr>
                      <w:sz w:val="16"/>
                    </w:rPr>
                    <w:t>natjecanjima,</w:t>
                  </w:r>
                  <w:r w:rsidRPr="00323589">
                    <w:rPr>
                      <w:spacing w:val="1"/>
                      <w:sz w:val="16"/>
                    </w:rPr>
                    <w:t xml:space="preserve"> </w:t>
                  </w:r>
                  <w:r w:rsidRPr="00323589">
                    <w:rPr>
                      <w:sz w:val="16"/>
                    </w:rPr>
                    <w:t>smotrama i</w:t>
                  </w:r>
                  <w:r w:rsidRPr="00323589">
                    <w:rPr>
                      <w:spacing w:val="1"/>
                      <w:sz w:val="16"/>
                    </w:rPr>
                    <w:t xml:space="preserve"> </w:t>
                  </w:r>
                  <w:r w:rsidRPr="00323589">
                    <w:rPr>
                      <w:sz w:val="16"/>
                    </w:rPr>
                    <w:t>projektima</w:t>
                  </w:r>
                </w:p>
                <w:p w:rsidR="001C4EEF" w:rsidRPr="00323589" w:rsidRDefault="00CE1BDC" w:rsidP="00323589">
                  <w:pPr>
                    <w:jc w:val="center"/>
                    <w:rPr>
                      <w:sz w:val="20"/>
                    </w:rPr>
                  </w:pPr>
                  <w:r w:rsidRPr="00323589">
                    <w:rPr>
                      <w:sz w:val="16"/>
                    </w:rPr>
                    <w:t>1</w:t>
                  </w:r>
                  <w:r w:rsidR="00323589">
                    <w:rPr>
                      <w:sz w:val="16"/>
                    </w:rPr>
                    <w:t>3</w:t>
                  </w:r>
                  <w:r w:rsidR="001C4EEF" w:rsidRPr="00323589">
                    <w:rPr>
                      <w:sz w:val="16"/>
                    </w:rPr>
                    <w:t>0</w:t>
                  </w:r>
                </w:p>
              </w:tc>
            </w:tr>
            <w:tr w:rsidR="001C4EEF" w:rsidRPr="006B6C24" w:rsidTr="007E4861">
              <w:trPr>
                <w:cantSplit/>
                <w:trHeight w:val="35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EEF" w:rsidRPr="006B6C24" w:rsidRDefault="001C4EEF" w:rsidP="001C4EE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školstva- povećanje kvalitete odgojno-obrazovnog rada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5404B2" w:rsidRDefault="00F30A9B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Potrošni nastavni materijal za nastavu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5404B2" w:rsidRDefault="00F30A9B" w:rsidP="001C4E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Potrošni nastavni materijal za nastavu</w:t>
                  </w:r>
                  <w:r w:rsidRPr="005404B2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EEF" w:rsidRPr="00323589" w:rsidRDefault="001C4EEF" w:rsidP="001C4EEF">
                  <w:pPr>
                    <w:jc w:val="center"/>
                    <w:rPr>
                      <w:sz w:val="20"/>
                    </w:rPr>
                  </w:pPr>
                  <w:r w:rsidRPr="00323589">
                    <w:rPr>
                      <w:sz w:val="20"/>
                    </w:rPr>
                    <w:t xml:space="preserve">Poboljšanje materijalnih uvjeta </w:t>
                  </w:r>
                </w:p>
                <w:p w:rsidR="001C4EEF" w:rsidRPr="005404B2" w:rsidRDefault="001C4EEF" w:rsidP="001C4EE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>
      <w:pPr>
        <w:pStyle w:val="Podnoje"/>
        <w:rPr>
          <w:rFonts w:eastAsia="Times New Roman"/>
          <w:sz w:val="20"/>
        </w:rPr>
      </w:pPr>
    </w:p>
    <w:p w:rsidR="00CF082E" w:rsidRPr="003358EF" w:rsidRDefault="00CF082E" w:rsidP="00CF082E">
      <w:pPr>
        <w:pStyle w:val="Podnoje"/>
        <w:rPr>
          <w:rFonts w:eastAsia="Times New Roman"/>
          <w:sz w:val="20"/>
        </w:rPr>
      </w:pPr>
      <w:r w:rsidRPr="003358EF">
        <w:rPr>
          <w:rFonts w:eastAsia="Times New Roman"/>
          <w:sz w:val="20"/>
        </w:rPr>
        <w:t xml:space="preserve">Pokazatelji uspješnosti kojima će se mjeriti ostvarenje ciljeva u </w:t>
      </w:r>
      <w:r w:rsidR="007E4861" w:rsidRPr="003358EF">
        <w:rPr>
          <w:rFonts w:eastAsia="Times New Roman"/>
          <w:sz w:val="20"/>
        </w:rPr>
        <w:t xml:space="preserve">godišnjem </w:t>
      </w:r>
      <w:r w:rsidRPr="003358EF">
        <w:rPr>
          <w:rFonts w:eastAsia="Times New Roman"/>
          <w:sz w:val="20"/>
        </w:rPr>
        <w:t>periodu su pružanje kvalitetne usluge osnovnog odgoja i obrazovanja učenika kroz podizanje kvalitete nastave, usavršavanjem učitelja, podizanjem materijalnih i drugih uvjeta.</w:t>
      </w:r>
    </w:p>
    <w:p w:rsidR="00CF082E" w:rsidRPr="003358EF" w:rsidRDefault="00CF082E" w:rsidP="00CF082E">
      <w:pPr>
        <w:pStyle w:val="Podnoje"/>
        <w:rPr>
          <w:rFonts w:eastAsia="Times New Roman"/>
          <w:sz w:val="20"/>
        </w:rPr>
      </w:pPr>
      <w:r w:rsidRPr="003358EF">
        <w:rPr>
          <w:rFonts w:eastAsia="Times New Roman"/>
          <w:sz w:val="20"/>
        </w:rPr>
        <w:t>Učenike će se poticati na izražavanje kreativnosti i sposobnosti kroz uključivanje u izvannastavne aktivnosti, natjecanja, projekte, učeničku zadrugu, priredbe i smotre.</w:t>
      </w:r>
    </w:p>
    <w:p w:rsidR="00CF082E" w:rsidRPr="003358EF" w:rsidRDefault="00CF082E" w:rsidP="00CF082E">
      <w:pPr>
        <w:pStyle w:val="Podnoje"/>
        <w:rPr>
          <w:rFonts w:eastAsia="Times New Roman"/>
          <w:sz w:val="20"/>
        </w:rPr>
      </w:pPr>
      <w:r w:rsidRPr="003358EF">
        <w:rPr>
          <w:rFonts w:eastAsia="Times New Roman"/>
          <w:sz w:val="20"/>
        </w:rPr>
        <w:t>Pokazatelji uspješnosti mjerljivi su kroz realizaciju razvojnog plana, realizaciju školskog kurikuluma, povećanja uključenja učenika u različite projekte te sudjelovanja na natjecanjima i smotrama. Izvannastavne aktivnosti bit će organizirane preko likovne skupine, kreativne skupine, mali web dizajneri, sportske grupe (rukometna i nogometna skupina), mali cvjećari, robotika, dramske skupine…  Postignuća unutar rada pojedinih skupina i ostvarenja planiranih aktivnosti prezentirat će se na javnim događanjima, web stranici škole. Učitelji će tijekom školske godine sudjelovati na stručnim skupovima, seminarima i edukacijama prema planu AZZO-a. Pokazatelj uspješnosti utvrđivat će se mjerenjem pomoću upitnika i analizom ocjena. Isti će omogućiti školi praćenje i izvještavanje o napretku i ostvarenju zadanih programa.</w:t>
      </w:r>
    </w:p>
    <w:p w:rsidR="00CF082E" w:rsidRDefault="00CF082E" w:rsidP="00CF082E">
      <w:pPr>
        <w:pStyle w:val="Podnoje"/>
        <w:rPr>
          <w:rFonts w:eastAsia="Times New Roman"/>
          <w:sz w:val="20"/>
        </w:rPr>
      </w:pPr>
    </w:p>
    <w:p w:rsidR="00CF082E" w:rsidRDefault="00CF082E" w:rsidP="00CF082E">
      <w:pPr>
        <w:pStyle w:val="Podnoje"/>
        <w:sectPr w:rsidR="00CF082E" w:rsidSect="0078120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F082E" w:rsidRPr="006B6C24" w:rsidTr="002C27AB">
        <w:trPr>
          <w:trHeight w:val="1316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22"/>
              <w:rPr>
                <w:i w:val="0"/>
              </w:rPr>
            </w:pPr>
            <w:r w:rsidRPr="002C152C">
              <w:rPr>
                <w:i w:val="0"/>
              </w:rPr>
              <w:lastRenderedPageBreak/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E8593B" w:rsidRDefault="00CF082E" w:rsidP="00781205">
            <w:pPr>
              <w:rPr>
                <w:bCs/>
                <w:sz w:val="24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E8593B" w:rsidRDefault="00E8593B" w:rsidP="00781205">
            <w:pPr>
              <w:rPr>
                <w:bCs/>
                <w:sz w:val="20"/>
              </w:rPr>
            </w:pPr>
          </w:p>
          <w:p w:rsidR="00E8593B" w:rsidRDefault="00E8593B" w:rsidP="00781205">
            <w:pPr>
              <w:rPr>
                <w:bCs/>
                <w:sz w:val="20"/>
              </w:rPr>
            </w:pPr>
          </w:p>
          <w:p w:rsidR="003052C7" w:rsidRDefault="003052C7" w:rsidP="003052C7">
            <w:pPr>
              <w:rPr>
                <w:bCs/>
                <w:sz w:val="20"/>
              </w:rPr>
            </w:pPr>
          </w:p>
          <w:p w:rsidR="003052C7" w:rsidRDefault="003052C7" w:rsidP="003052C7">
            <w:pPr>
              <w:rPr>
                <w:bCs/>
                <w:sz w:val="20"/>
              </w:rPr>
            </w:pPr>
          </w:p>
          <w:p w:rsidR="003052C7" w:rsidRPr="005C387B" w:rsidRDefault="003052C7" w:rsidP="003052C7">
            <w:pPr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t>I</w:t>
            </w:r>
            <w:r>
              <w:rPr>
                <w:bCs/>
                <w:sz w:val="20"/>
              </w:rPr>
              <w:t>ZVRŠENJE</w:t>
            </w:r>
            <w:r w:rsidRPr="005C387B">
              <w:rPr>
                <w:bCs/>
                <w:sz w:val="20"/>
              </w:rPr>
              <w:t xml:space="preserve"> 1.-</w:t>
            </w:r>
            <w:r>
              <w:rPr>
                <w:bCs/>
                <w:sz w:val="20"/>
              </w:rPr>
              <w:t>6</w:t>
            </w:r>
            <w:r w:rsidRPr="005C387B">
              <w:rPr>
                <w:bCs/>
                <w:sz w:val="20"/>
              </w:rPr>
              <w:t>.202</w:t>
            </w:r>
            <w:r>
              <w:rPr>
                <w:bCs/>
                <w:sz w:val="20"/>
              </w:rPr>
              <w:t>5</w:t>
            </w:r>
            <w:r w:rsidRPr="005C387B">
              <w:rPr>
                <w:bCs/>
                <w:sz w:val="20"/>
              </w:rPr>
              <w:t>.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3767AE" w:rsidRDefault="003767AE" w:rsidP="00781205">
            <w:pPr>
              <w:rPr>
                <w:bCs/>
                <w:sz w:val="20"/>
              </w:rPr>
            </w:pPr>
          </w:p>
          <w:p w:rsidR="003767AE" w:rsidRDefault="003767AE" w:rsidP="00781205">
            <w:pPr>
              <w:rPr>
                <w:bCs/>
                <w:sz w:val="20"/>
              </w:rPr>
            </w:pPr>
          </w:p>
          <w:p w:rsidR="003767AE" w:rsidRDefault="003767AE" w:rsidP="00781205">
            <w:pPr>
              <w:rPr>
                <w:bCs/>
                <w:sz w:val="20"/>
              </w:rPr>
            </w:pPr>
          </w:p>
          <w:p w:rsidR="003052C7" w:rsidRDefault="003052C7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OBRAZLOŽENJE IZVRŠENJA PROGRAMA</w:t>
            </w: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A82030" w:rsidRDefault="00A8203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007250" w:rsidRDefault="00007250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E61A0B" w:rsidRDefault="00CF082E" w:rsidP="00781205">
            <w:pPr>
              <w:rPr>
                <w:b/>
                <w:i/>
                <w:sz w:val="20"/>
              </w:rPr>
            </w:pPr>
            <w:r w:rsidRPr="00E61A0B">
              <w:rPr>
                <w:b/>
                <w:i/>
                <w:sz w:val="20"/>
              </w:rPr>
              <w:t>FINANCIRANJE ŠKOLSTVA IZVAN ŽUPANIJSKOG PRORAČUNA</w:t>
            </w:r>
          </w:p>
          <w:p w:rsidR="00CF082E" w:rsidRDefault="00CF082E" w:rsidP="00781205">
            <w:pPr>
              <w:rPr>
                <w:i/>
                <w:sz w:val="20"/>
              </w:rPr>
            </w:pPr>
          </w:p>
          <w:p w:rsidR="00CF082E" w:rsidRPr="00E8593B" w:rsidRDefault="00CF082E" w:rsidP="00781205">
            <w:pPr>
              <w:rPr>
                <w:i/>
                <w:sz w:val="6"/>
              </w:rPr>
            </w:pP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Djelatnost osnovnoškolskog odgo</w:t>
            </w:r>
            <w:r>
              <w:rPr>
                <w:szCs w:val="24"/>
              </w:rPr>
              <w:t>ja i obrazovanja, odnosno rada O</w:t>
            </w:r>
            <w:r w:rsidRPr="00BA1C20">
              <w:rPr>
                <w:szCs w:val="24"/>
              </w:rPr>
              <w:t xml:space="preserve">snovne škole </w:t>
            </w:r>
            <w:r>
              <w:rPr>
                <w:szCs w:val="24"/>
              </w:rPr>
              <w:t>Josipa Kozarca Semeljci</w:t>
            </w:r>
            <w:r w:rsidRPr="00BA1C20">
              <w:rPr>
                <w:szCs w:val="24"/>
              </w:rPr>
              <w:t>, ostvaruje se u skladu s odredbama Zakona o odgoju i obrazovanju u osnovnoj i srednjoj školi podzakonskim aktima (Pravilnicima), Zakona o ustanovama, naputcima savjetnika Agencije za odgoj i obrazovanje, odnosno voditelja Županijskih stručnih vijeća te Upravnog odjela za obrazovanje i mla</w:t>
            </w:r>
            <w:r>
              <w:rPr>
                <w:szCs w:val="24"/>
              </w:rPr>
              <w:t>de Osječko-baranjske županije.</w:t>
            </w:r>
          </w:p>
          <w:p w:rsidR="00CF082E" w:rsidRPr="00BA1C20" w:rsidRDefault="00CF082E" w:rsidP="00781205">
            <w:pPr>
              <w:rPr>
                <w:szCs w:val="24"/>
              </w:rPr>
            </w:pP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>Cilj:</w:t>
            </w: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Osigurati stručno i kvalitetno nastavno osoblje te ih poticati na daljnje razvijanje kroz edukacije i cjeloživotno učenje.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7A0196" w:rsidRDefault="00CF082E" w:rsidP="0078120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 w:rsidRPr="007A0196">
              <w:rPr>
                <w:i/>
                <w:sz w:val="20"/>
              </w:rPr>
              <w:t>akonska osnova za provođenje programa</w:t>
            </w:r>
            <w:r>
              <w:rPr>
                <w:i/>
                <w:sz w:val="20"/>
              </w:rPr>
              <w:t>: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3767AE" w:rsidRPr="005C387B" w:rsidRDefault="003767AE" w:rsidP="003767A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3767AE" w:rsidRPr="005C387B" w:rsidRDefault="003767AE" w:rsidP="003767A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35/08, 127/19 i 151/22)</w:t>
            </w:r>
          </w:p>
          <w:p w:rsidR="003767AE" w:rsidRPr="005C387B" w:rsidRDefault="003767AE" w:rsidP="003767A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(Narodne novine broj 87/08, 136/12, 15/15 i 144/21), Pravilnik o proračunskim klasifikacijama (Narodne novine broj 26/10, 120/13</w:t>
            </w:r>
            <w:r>
              <w:rPr>
                <w:sz w:val="20"/>
              </w:rPr>
              <w:t xml:space="preserve">, </w:t>
            </w:r>
            <w:r w:rsidRPr="005C387B">
              <w:rPr>
                <w:sz w:val="20"/>
              </w:rPr>
              <w:t>1/20</w:t>
            </w:r>
            <w:r>
              <w:rPr>
                <w:sz w:val="20"/>
              </w:rPr>
              <w:t xml:space="preserve"> i 4/24</w:t>
            </w:r>
            <w:r w:rsidRPr="005C387B">
              <w:rPr>
                <w:sz w:val="20"/>
              </w:rPr>
              <w:t>), Pravilnik o proračunskom računovodstvu i računskom planu (Narodne novine broj 124/14, 115/15, 87/16, 003/18, 126/19, 108/20 i 158/23), Zakon o fiskalnoj odgovornosti (Narodne novine broj 111/18</w:t>
            </w:r>
            <w:r>
              <w:rPr>
                <w:sz w:val="20"/>
              </w:rPr>
              <w:t xml:space="preserve"> i 83/23</w:t>
            </w:r>
            <w:r w:rsidRPr="005C387B">
              <w:rPr>
                <w:sz w:val="20"/>
              </w:rPr>
              <w:t>)</w:t>
            </w:r>
          </w:p>
          <w:p w:rsidR="00F30A9B" w:rsidRPr="00713802" w:rsidRDefault="00F30A9B" w:rsidP="00F30A9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713802">
              <w:rPr>
                <w:sz w:val="20"/>
              </w:rPr>
              <w:t>Upute za izradu Proračuna Osječko-baranjske županije za razdoblje 2025.-2027.  (dopis Upravnog odjela za obrazovanje od 30. rujna 2024.)</w:t>
            </w:r>
          </w:p>
          <w:p w:rsidR="00F30A9B" w:rsidRPr="00F30A9B" w:rsidRDefault="00F30A9B" w:rsidP="00F30A9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713802">
              <w:rPr>
                <w:sz w:val="20"/>
              </w:rPr>
              <w:t xml:space="preserve">Godišnji plan i program rada škole, Školski kurikulum Osnovne škole Josipa </w:t>
            </w:r>
            <w:r w:rsidRPr="00F30A9B">
              <w:rPr>
                <w:sz w:val="20"/>
              </w:rPr>
              <w:t>Kozarca, Semeljci, za školsku godinu 2024./2025.</w:t>
            </w:r>
          </w:p>
          <w:p w:rsidR="00CF082E" w:rsidRPr="00F30A9B" w:rsidRDefault="00CF082E" w:rsidP="00781205">
            <w:pPr>
              <w:rPr>
                <w:i/>
                <w:sz w:val="20"/>
              </w:rPr>
            </w:pPr>
          </w:p>
          <w:p w:rsidR="003767AE" w:rsidRDefault="003767A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2"/>
              <w:gridCol w:w="2015"/>
              <w:gridCol w:w="1276"/>
              <w:gridCol w:w="1269"/>
              <w:gridCol w:w="1662"/>
            </w:tblGrid>
            <w:tr w:rsidR="00172BC1" w:rsidRPr="006B6C24" w:rsidTr="00E8593B">
              <w:trPr>
                <w:cantSplit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E8593B" w:rsidRDefault="00172BC1" w:rsidP="00A66582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E8593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Plan 202</w:t>
                  </w:r>
                  <w:r w:rsidR="00A66582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5</w:t>
                  </w:r>
                  <w:r w:rsidRPr="00E8593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93B" w:rsidRPr="005C387B" w:rsidRDefault="00172BC1" w:rsidP="00E8593B">
                  <w:pPr>
                    <w:pStyle w:val="TableParagraph"/>
                    <w:ind w:left="-27" w:firstLine="40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Izvršenje</w:t>
                  </w:r>
                  <w:r w:rsidRPr="005C387B">
                    <w:rPr>
                      <w:spacing w:val="-42"/>
                      <w:sz w:val="18"/>
                    </w:rPr>
                    <w:t xml:space="preserve"> </w:t>
                  </w:r>
                </w:p>
                <w:p w:rsidR="00172BC1" w:rsidRDefault="00E8593B" w:rsidP="00A66582">
                  <w:pPr>
                    <w:pStyle w:val="TableParagraph"/>
                    <w:ind w:left="-27" w:firstLine="40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1</w:t>
                  </w:r>
                  <w:r w:rsidR="00172BC1" w:rsidRPr="005C387B">
                    <w:rPr>
                      <w:sz w:val="18"/>
                    </w:rPr>
                    <w:t>.-</w:t>
                  </w:r>
                  <w:r w:rsidR="00A66582">
                    <w:rPr>
                      <w:sz w:val="18"/>
                    </w:rPr>
                    <w:t>6</w:t>
                  </w:r>
                  <w:r w:rsidR="00172BC1" w:rsidRPr="005C387B">
                    <w:rPr>
                      <w:sz w:val="18"/>
                    </w:rPr>
                    <w:t>.202</w:t>
                  </w:r>
                  <w:r w:rsidR="00A66582">
                    <w:rPr>
                      <w:sz w:val="18"/>
                    </w:rPr>
                    <w:t>5</w:t>
                  </w:r>
                  <w:r w:rsidR="00172BC1" w:rsidRPr="005C387B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BC1" w:rsidRPr="00BB1A9D" w:rsidRDefault="00172BC1" w:rsidP="00172BC1">
                  <w:pPr>
                    <w:pStyle w:val="TableParagraph"/>
                    <w:spacing w:line="226" w:lineRule="exact"/>
                    <w:ind w:left="86" w:right="82"/>
                    <w:jc w:val="center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Indeks</w:t>
                  </w:r>
                </w:p>
                <w:p w:rsidR="00172BC1" w:rsidRDefault="00172BC1" w:rsidP="00172BC1">
                  <w:pPr>
                    <w:pStyle w:val="TableParagraph"/>
                    <w:spacing w:before="2" w:line="210" w:lineRule="exact"/>
                    <w:ind w:left="86" w:right="82"/>
                    <w:jc w:val="center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(Izvršenje/Plan)</w:t>
                  </w:r>
                </w:p>
              </w:tc>
            </w:tr>
            <w:tr w:rsidR="00CF082E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E8593B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autoSpaceDE/>
                    <w:autoSpaceDN/>
                    <w:ind w:left="833" w:hanging="720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VLASTITI PRIHODI –</w:t>
                  </w:r>
                  <w:r w:rsidR="00E8593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OSNOVNO ŠKOLSTVO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F30A9B" w:rsidP="003767A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2.124.112</w:t>
                  </w:r>
                  <w:r w:rsidR="00BB1A9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F30A9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="00F30A9B">
                    <w:rPr>
                      <w:sz w:val="20"/>
                    </w:rPr>
                    <w:t>172.596,58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F30A9B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55,2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8171A3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9B6A0A">
                  <w:pPr>
                    <w:widowControl/>
                    <w:tabs>
                      <w:tab w:val="left" w:pos="0"/>
                    </w:tabs>
                    <w:autoSpaceDE/>
                    <w:autoSpaceDN/>
                    <w:ind w:left="644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IZVOR SREDSTAVA </w:t>
                  </w:r>
                </w:p>
                <w:p w:rsidR="008171A3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32 VLASTITI PRIHODI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F30A9B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6.628</w:t>
                  </w:r>
                  <w:r w:rsidR="00EE75A8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F30A9B" w:rsidP="003767A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332,92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F30A9B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5,02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9B6A0A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6B6C24" w:rsidRDefault="009B6A0A" w:rsidP="009B6A0A">
                  <w:pPr>
                    <w:widowControl/>
                    <w:tabs>
                      <w:tab w:val="left" w:pos="0"/>
                    </w:tabs>
                    <w:autoSpaceDE/>
                    <w:autoSpaceDN/>
                    <w:ind w:left="644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9B6A0A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SREDSTAVA</w:t>
                  </w:r>
                </w:p>
                <w:p w:rsidR="009B6A0A" w:rsidRDefault="009B6A0A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54 POMOĆI - KORISNICI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F30A9B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2.117.484,00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F30A9B" w:rsidP="003767A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1.172.263,66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3767AE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99,20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EE75A8" w:rsidRPr="006B6C24" w:rsidTr="00781205">
              <w:trPr>
                <w:cantSplit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A8" w:rsidRPr="003767AE" w:rsidRDefault="00EE75A8" w:rsidP="00EE75A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A8" w:rsidRPr="003767AE" w:rsidRDefault="00EE75A8" w:rsidP="00EE75A8">
                  <w:pPr>
                    <w:rPr>
                      <w:b/>
                      <w:bCs/>
                      <w:sz w:val="20"/>
                    </w:rPr>
                  </w:pPr>
                  <w:r w:rsidRPr="003767AE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3767AE" w:rsidRDefault="00F30A9B" w:rsidP="00EE75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2.124.112</w:t>
                  </w:r>
                  <w:r w:rsidR="00E003F2" w:rsidRPr="003767AE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3767AE" w:rsidRDefault="00E003F2" w:rsidP="00F30A9B">
                  <w:pPr>
                    <w:jc w:val="center"/>
                    <w:rPr>
                      <w:b/>
                      <w:sz w:val="20"/>
                    </w:rPr>
                  </w:pPr>
                  <w:r w:rsidRPr="003767AE">
                    <w:rPr>
                      <w:b/>
                      <w:sz w:val="20"/>
                    </w:rPr>
                    <w:t>1.</w:t>
                  </w:r>
                  <w:r w:rsidR="00F30A9B">
                    <w:rPr>
                      <w:b/>
                      <w:sz w:val="20"/>
                    </w:rPr>
                    <w:t>172.596,58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3767AE" w:rsidRDefault="00F30A9B" w:rsidP="00EE75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55,20</w:t>
                  </w:r>
                  <w:r w:rsidR="00E003F2" w:rsidRPr="003767AE">
                    <w:rPr>
                      <w:b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IZVOR </w:t>
            </w:r>
            <w:r w:rsidR="00EE75A8">
              <w:rPr>
                <w:bCs/>
                <w:sz w:val="20"/>
              </w:rPr>
              <w:t xml:space="preserve">VLASTITH </w:t>
            </w:r>
            <w:r>
              <w:rPr>
                <w:bCs/>
                <w:sz w:val="20"/>
              </w:rPr>
              <w:t xml:space="preserve">SREDSTAVA </w:t>
            </w:r>
            <w:r w:rsidR="007B2427">
              <w:rPr>
                <w:bCs/>
                <w:sz w:val="20"/>
              </w:rPr>
              <w:t xml:space="preserve">32 </w:t>
            </w:r>
            <w:r w:rsidR="00EE75A8">
              <w:rPr>
                <w:bCs/>
                <w:sz w:val="20"/>
              </w:rPr>
              <w:t xml:space="preserve">– OSNOVNO ŠKOLSTVO </w:t>
            </w:r>
            <w:r w:rsidR="007B2427">
              <w:rPr>
                <w:bCs/>
                <w:sz w:val="20"/>
              </w:rPr>
              <w:t>su prihodi od</w:t>
            </w:r>
            <w:r w:rsidR="003767AE">
              <w:rPr>
                <w:bCs/>
                <w:sz w:val="20"/>
              </w:rPr>
              <w:t xml:space="preserve"> </w:t>
            </w:r>
            <w:r w:rsidR="007B2427">
              <w:rPr>
                <w:bCs/>
                <w:sz w:val="20"/>
              </w:rPr>
              <w:t xml:space="preserve">iznajmljavanja dvorane i </w:t>
            </w:r>
            <w:r w:rsidR="00044235">
              <w:rPr>
                <w:bCs/>
                <w:sz w:val="20"/>
              </w:rPr>
              <w:t>od prodaje starog papira</w:t>
            </w:r>
            <w:r w:rsidR="007B2427">
              <w:rPr>
                <w:bCs/>
                <w:sz w:val="20"/>
              </w:rPr>
              <w:t xml:space="preserve">.  </w:t>
            </w:r>
          </w:p>
          <w:p w:rsidR="00EE75A8" w:rsidRDefault="007B2427" w:rsidP="00781205">
            <w:pPr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 w:rsidR="00044235">
              <w:rPr>
                <w:sz w:val="20"/>
              </w:rPr>
              <w:t>izvještajnom razdoblju utrošeno je 332,92 eura, odnosno 5,02% planiranih sredstava</w:t>
            </w:r>
            <w:r w:rsidR="00E003F2">
              <w:rPr>
                <w:sz w:val="20"/>
              </w:rPr>
              <w:t xml:space="preserve">. </w:t>
            </w:r>
          </w:p>
          <w:p w:rsidR="00044235" w:rsidRDefault="00044235" w:rsidP="00781205">
            <w:pPr>
              <w:rPr>
                <w:sz w:val="20"/>
              </w:rPr>
            </w:pPr>
          </w:p>
          <w:p w:rsidR="00044235" w:rsidRDefault="00044235" w:rsidP="00044235">
            <w:pPr>
              <w:rPr>
                <w:bCs/>
                <w:sz w:val="20"/>
              </w:rPr>
            </w:pPr>
            <w:r>
              <w:rPr>
                <w:sz w:val="20"/>
              </w:rPr>
              <w:t>IZVOR SREDSTAVA 54 POMOĆI – KORISNICI obuhvaćaju prihode iz državnog proračuna kojima se financiraju plaće i druga materijalna prava djelatnika, prehrana učenika, nabava psihodijagnostičkih sredstava, nabava higijenskih menstrualnih potrepština, provođenje projekta E</w:t>
            </w:r>
            <w:r w:rsidR="00007250">
              <w:rPr>
                <w:sz w:val="20"/>
              </w:rPr>
              <w:t>NABLE</w:t>
            </w:r>
            <w:r>
              <w:rPr>
                <w:sz w:val="20"/>
              </w:rPr>
              <w:t>. Također obuhvaćaju prihode od općine Semeljci kojima je sufinancirana Škola u prirodi.</w:t>
            </w:r>
          </w:p>
          <w:p w:rsidR="009B6A0A" w:rsidRPr="007B2427" w:rsidRDefault="009B6A0A" w:rsidP="007B2427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0D198C" w:rsidRDefault="00CF082E" w:rsidP="00781205">
            <w:pPr>
              <w:rPr>
                <w:szCs w:val="24"/>
              </w:rPr>
            </w:pPr>
            <w:r w:rsidRPr="000D198C">
              <w:rPr>
                <w:szCs w:val="24"/>
              </w:rPr>
              <w:t xml:space="preserve">U okviru izvora financiranja Pomoći-korisnici provode se </w:t>
            </w:r>
            <w:r w:rsidR="000235E8" w:rsidRPr="000D198C">
              <w:rPr>
                <w:szCs w:val="24"/>
              </w:rPr>
              <w:t>p</w:t>
            </w:r>
            <w:r w:rsidRPr="000D198C">
              <w:rPr>
                <w:szCs w:val="24"/>
              </w:rPr>
              <w:t>rojekti</w:t>
            </w:r>
            <w:r w:rsidR="000235E8" w:rsidRPr="000D198C">
              <w:rPr>
                <w:szCs w:val="24"/>
              </w:rPr>
              <w:t>:</w:t>
            </w:r>
            <w:r w:rsidRPr="000D198C">
              <w:rPr>
                <w:szCs w:val="24"/>
              </w:rPr>
              <w:t xml:space="preserve"> </w:t>
            </w:r>
          </w:p>
          <w:p w:rsidR="000235E8" w:rsidRPr="000D198C" w:rsidRDefault="006B1B6D" w:rsidP="00781205">
            <w:pPr>
              <w:rPr>
                <w:szCs w:val="24"/>
              </w:rPr>
            </w:pPr>
            <w:r>
              <w:rPr>
                <w:szCs w:val="24"/>
              </w:rPr>
              <w:t>Preventivni programi – Projekt E</w:t>
            </w:r>
            <w:r w:rsidR="00007250">
              <w:rPr>
                <w:szCs w:val="24"/>
              </w:rPr>
              <w:t>NABLE (</w:t>
            </w:r>
            <w:r w:rsidR="00007250" w:rsidRPr="00007250">
              <w:rPr>
                <w:szCs w:val="24"/>
              </w:rPr>
              <w:t>Europska mreža protiv zlostavljanja na nastavi i u slobodnome vremenu</w:t>
            </w:r>
            <w:r w:rsidR="00007250">
              <w:rPr>
                <w:szCs w:val="24"/>
              </w:rPr>
              <w:t>)</w:t>
            </w:r>
            <w:r w:rsidR="000235E8" w:rsidRPr="000D198C">
              <w:rPr>
                <w:szCs w:val="24"/>
              </w:rPr>
              <w:t xml:space="preserve"> i Sufinanciranje prehrane učenika iz državnog proračuna.</w:t>
            </w:r>
            <w:r w:rsidR="00CF082E" w:rsidRPr="000D198C">
              <w:rPr>
                <w:szCs w:val="24"/>
              </w:rPr>
              <w:t xml:space="preserve">. </w:t>
            </w:r>
          </w:p>
          <w:p w:rsidR="003358EF" w:rsidRPr="000D198C" w:rsidRDefault="003358EF" w:rsidP="00781205">
            <w:pPr>
              <w:rPr>
                <w:szCs w:val="24"/>
              </w:rPr>
            </w:pPr>
          </w:p>
          <w:p w:rsidR="00007250" w:rsidRDefault="000D198C" w:rsidP="000D198C">
            <w:pPr>
              <w:rPr>
                <w:szCs w:val="24"/>
              </w:rPr>
            </w:pPr>
            <w:r w:rsidRPr="00007250">
              <w:rPr>
                <w:szCs w:val="24"/>
              </w:rPr>
              <w:t xml:space="preserve">Osnovni cilj projekta </w:t>
            </w:r>
            <w:r w:rsidR="006B1B6D" w:rsidRPr="00007250">
              <w:rPr>
                <w:szCs w:val="24"/>
              </w:rPr>
              <w:t>E</w:t>
            </w:r>
            <w:r w:rsidR="00007250">
              <w:rPr>
                <w:szCs w:val="24"/>
              </w:rPr>
              <w:t>NABLE:</w:t>
            </w:r>
          </w:p>
          <w:p w:rsidR="000235E8" w:rsidRPr="00007250" w:rsidRDefault="00007250" w:rsidP="000D198C">
            <w:pPr>
              <w:rPr>
                <w:szCs w:val="24"/>
              </w:rPr>
            </w:pPr>
            <w:r w:rsidRPr="00007250">
              <w:rPr>
                <w:szCs w:val="24"/>
              </w:rPr>
              <w:t>Programom „ENABLE“ prvenstveno ćemo se usmjeriti na smanjenje vršnjačkog nasilja uključujući ne samo učenike i školske djelatnike već i njihove roditelje/skrbnike kako bismo utjecali na dobrobit djece i u vanjskim kontekstima njihovog života. Cilj programa je osnažiti emocionalnu inteligenciju djece time što ćemo ih informirati o nasilju i osjećajima inovativnim i zanimljivim materijalima i aktivnostima. Nadalje, želimo potaknuti ljudsku obazrivost među učenicima naše škole i produbiti razumijevanje u nasilnim situacijama za sve prisutne uloge od žrtve, počinitelja do samih promatrača. Važno je ojačati razvoj osjećaja odgovornosti i otpornosti pri suočavanju sa nasiljem. Cilj je obučiti skupinu učenika pružati vršnjačku potporu i omogućiti im smanjiti vršnjačko nasilje među suučenicima. S obzirom na veću  svjesnost događanja među vršnjačkim skupinama moći će u ranijim fazama prepoznati nasilje i time pridonijeti uklanjanju i umanjivanju posljedica na uključene pojedince.</w:t>
            </w:r>
            <w:r w:rsidR="000D198C" w:rsidRPr="00007250">
              <w:rPr>
                <w:szCs w:val="24"/>
              </w:rPr>
              <w:t xml:space="preserve"> </w:t>
            </w:r>
          </w:p>
          <w:p w:rsidR="000D198C" w:rsidRDefault="000D198C" w:rsidP="00781205">
            <w:pPr>
              <w:rPr>
                <w:szCs w:val="24"/>
              </w:rPr>
            </w:pPr>
          </w:p>
          <w:p w:rsidR="00FD29C0" w:rsidRDefault="00FD29C0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FD29C0">
              <w:t>Sufinanciranje prehrane učenika iz državnog proračuna</w:t>
            </w:r>
            <w:r>
              <w:t xml:space="preserve"> </w:t>
            </w:r>
            <w:r w:rsidRPr="00BA1C20">
              <w:rPr>
                <w:szCs w:val="24"/>
              </w:rPr>
              <w:t xml:space="preserve">je svim učenicima osigurati minimalno jedan obrok dnevno, usmjeriti učenike, </w:t>
            </w:r>
            <w:r>
              <w:rPr>
                <w:szCs w:val="24"/>
              </w:rPr>
              <w:t>učitelje</w:t>
            </w:r>
            <w:r w:rsidRPr="00BA1C20">
              <w:rPr>
                <w:szCs w:val="24"/>
              </w:rPr>
              <w:t xml:space="preserve"> i roditelje zdravoj prehrani.</w:t>
            </w:r>
          </w:p>
          <w:p w:rsidR="002C27AB" w:rsidRDefault="002C27AB" w:rsidP="00781205">
            <w:pPr>
              <w:rPr>
                <w:szCs w:val="24"/>
              </w:rPr>
            </w:pPr>
          </w:p>
          <w:p w:rsidR="002C27AB" w:rsidRPr="002C27AB" w:rsidRDefault="002C27AB" w:rsidP="002C27AB">
            <w:pPr>
              <w:rPr>
                <w:bCs/>
                <w:sz w:val="20"/>
                <w:lang w:val="hr-HR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6"/>
              <w:gridCol w:w="1074"/>
              <w:gridCol w:w="1025"/>
              <w:gridCol w:w="1137"/>
            </w:tblGrid>
            <w:tr w:rsidR="002C27AB" w:rsidRPr="00007250" w:rsidTr="002C27AB"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Polazna</w:t>
                  </w:r>
                </w:p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Ciljana</w:t>
                  </w:r>
                </w:p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  <w:p w:rsidR="002C27AB" w:rsidRPr="00007250" w:rsidRDefault="002C27AB" w:rsidP="00873596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202</w:t>
                  </w:r>
                  <w:r w:rsidR="00873596" w:rsidRPr="00007250">
                    <w:rPr>
                      <w:bCs/>
                      <w:sz w:val="20"/>
                      <w:lang w:val="hr-HR"/>
                    </w:rPr>
                    <w:t>5</w:t>
                  </w:r>
                  <w:r w:rsidRPr="00007250">
                    <w:rPr>
                      <w:bCs/>
                      <w:sz w:val="20"/>
                      <w:lang w:val="hr-HR"/>
                    </w:rPr>
                    <w:t>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Ostvarena</w:t>
                  </w:r>
                </w:p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  <w:p w:rsidR="002C27AB" w:rsidRPr="00007250" w:rsidRDefault="002C27AB" w:rsidP="00873596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1.-</w:t>
                  </w:r>
                  <w:r w:rsidR="00873596" w:rsidRPr="00007250">
                    <w:rPr>
                      <w:bCs/>
                      <w:sz w:val="20"/>
                      <w:lang w:val="hr-HR"/>
                    </w:rPr>
                    <w:t>6</w:t>
                  </w:r>
                  <w:r w:rsidRPr="00007250">
                    <w:rPr>
                      <w:bCs/>
                      <w:sz w:val="20"/>
                      <w:lang w:val="hr-HR"/>
                    </w:rPr>
                    <w:t>.202</w:t>
                  </w:r>
                  <w:r w:rsidR="00873596" w:rsidRPr="00007250">
                    <w:rPr>
                      <w:bCs/>
                      <w:sz w:val="20"/>
                      <w:lang w:val="hr-HR"/>
                    </w:rPr>
                    <w:t>5</w:t>
                  </w:r>
                  <w:r w:rsidRPr="00007250">
                    <w:rPr>
                      <w:bCs/>
                      <w:sz w:val="20"/>
                      <w:lang w:val="hr-HR"/>
                    </w:rPr>
                    <w:t>.</w:t>
                  </w:r>
                </w:p>
              </w:tc>
            </w:tr>
            <w:tr w:rsidR="002C27AB" w:rsidRPr="00007250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8268D0" w:rsidP="00007250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12</w:t>
                  </w:r>
                  <w:r w:rsidR="00007250" w:rsidRPr="00007250">
                    <w:rPr>
                      <w:bCs/>
                      <w:sz w:val="20"/>
                      <w:lang w:val="hr-HR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8268D0" w:rsidP="00007250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</w:t>
                  </w:r>
                  <w:r w:rsidR="00007250" w:rsidRPr="00007250">
                    <w:rPr>
                      <w:bCs/>
                      <w:sz w:val="20"/>
                      <w:lang w:val="hr-HR"/>
                    </w:rPr>
                    <w:t>4</w:t>
                  </w:r>
                  <w:r w:rsidRPr="00007250">
                    <w:rPr>
                      <w:bCs/>
                      <w:sz w:val="20"/>
                      <w:lang w:val="hr-HR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007250" w:rsidP="00EC3808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97</w:t>
                  </w:r>
                </w:p>
              </w:tc>
            </w:tr>
            <w:tr w:rsidR="002C27AB" w:rsidRPr="00007250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00725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07250" w:rsidRDefault="0000725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07250" w:rsidRDefault="0000725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2</w:t>
                  </w:r>
                </w:p>
              </w:tc>
            </w:tr>
            <w:tr w:rsidR="00007250" w:rsidRPr="00007250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8268D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8268D0" w:rsidP="00007250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</w:t>
                  </w:r>
                  <w:r w:rsidR="00007250" w:rsidRPr="00007250">
                    <w:rPr>
                      <w:bCs/>
                      <w:sz w:val="20"/>
                      <w:lang w:val="hr-HR"/>
                    </w:rPr>
                    <w:t>6</w:t>
                  </w:r>
                  <w:r w:rsidRPr="00007250">
                    <w:rPr>
                      <w:bCs/>
                      <w:sz w:val="20"/>
                      <w:lang w:val="hr-HR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0D198C" w:rsidP="00007250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</w:t>
                  </w:r>
                  <w:r w:rsidR="00007250" w:rsidRPr="00007250">
                    <w:rPr>
                      <w:bCs/>
                      <w:sz w:val="20"/>
                      <w:lang w:val="hr-HR"/>
                    </w:rPr>
                    <w:t>30</w:t>
                  </w:r>
                </w:p>
              </w:tc>
            </w:tr>
            <w:tr w:rsidR="002C27AB" w:rsidRPr="00007250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007250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00725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00725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30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007250" w:rsidRDefault="00007250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 w:rsidRPr="00007250">
                    <w:rPr>
                      <w:bCs/>
                      <w:sz w:val="20"/>
                      <w:lang w:val="hr-HR"/>
                    </w:rPr>
                    <w:t>1</w:t>
                  </w:r>
                  <w:r w:rsidR="000D198C" w:rsidRPr="00007250">
                    <w:rPr>
                      <w:bCs/>
                      <w:sz w:val="20"/>
                      <w:lang w:val="hr-HR"/>
                    </w:rPr>
                    <w:t>2</w:t>
                  </w:r>
                </w:p>
              </w:tc>
            </w:tr>
          </w:tbl>
          <w:p w:rsidR="002C27AB" w:rsidRPr="00007250" w:rsidRDefault="002C27AB" w:rsidP="002C27AB">
            <w:pPr>
              <w:rPr>
                <w:bCs/>
                <w:sz w:val="20"/>
                <w:lang w:val="hr-HR"/>
              </w:rPr>
            </w:pPr>
            <w:r w:rsidRPr="00007250">
              <w:rPr>
                <w:bCs/>
                <w:sz w:val="20"/>
                <w:lang w:val="hr-HR"/>
              </w:rPr>
              <w:t> </w:t>
            </w:r>
          </w:p>
          <w:p w:rsidR="002C27AB" w:rsidRPr="006B6C24" w:rsidRDefault="002C27AB" w:rsidP="00781205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>
      <w:pPr>
        <w:pStyle w:val="Podnoje"/>
        <w:sectPr w:rsidR="00CF082E" w:rsidSect="00781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F082E" w:rsidRPr="006B6C24" w:rsidTr="003052C7">
        <w:trPr>
          <w:trHeight w:val="8905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-120"/>
              <w:rPr>
                <w:i w:val="0"/>
              </w:rPr>
            </w:pPr>
            <w:r>
              <w:lastRenderedPageBreak/>
              <w:br w:type="page"/>
            </w:r>
            <w:r w:rsidRPr="002C152C">
              <w:rPr>
                <w:i w:val="0"/>
              </w:rPr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3052C7" w:rsidRDefault="003052C7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3052C7" w:rsidRDefault="003052C7" w:rsidP="00781205">
            <w:pPr>
              <w:rPr>
                <w:bCs/>
                <w:sz w:val="20"/>
              </w:rPr>
            </w:pPr>
          </w:p>
          <w:p w:rsidR="003052C7" w:rsidRPr="005C387B" w:rsidRDefault="003052C7" w:rsidP="003052C7">
            <w:pPr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t>I</w:t>
            </w:r>
            <w:r>
              <w:rPr>
                <w:bCs/>
                <w:sz w:val="20"/>
              </w:rPr>
              <w:t>ZVRŠENJE</w:t>
            </w:r>
            <w:r w:rsidRPr="005C387B">
              <w:rPr>
                <w:bCs/>
                <w:sz w:val="20"/>
              </w:rPr>
              <w:t xml:space="preserve"> 1.-</w:t>
            </w:r>
            <w:r>
              <w:rPr>
                <w:bCs/>
                <w:sz w:val="20"/>
              </w:rPr>
              <w:t>6</w:t>
            </w:r>
            <w:r w:rsidRPr="005C387B">
              <w:rPr>
                <w:bCs/>
                <w:sz w:val="20"/>
              </w:rPr>
              <w:t>.202</w:t>
            </w:r>
            <w:r>
              <w:rPr>
                <w:bCs/>
                <w:sz w:val="20"/>
              </w:rPr>
              <w:t>5</w:t>
            </w:r>
            <w:r w:rsidRPr="005C387B">
              <w:rPr>
                <w:bCs/>
                <w:sz w:val="20"/>
              </w:rPr>
              <w:t>.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5130C7" w:rsidRDefault="005130C7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821179" w:rsidRDefault="00CF082E" w:rsidP="00781205">
            <w:pPr>
              <w:rPr>
                <w:b/>
                <w:i/>
                <w:sz w:val="20"/>
              </w:rPr>
            </w:pPr>
            <w:r w:rsidRPr="00821179">
              <w:rPr>
                <w:b/>
                <w:i/>
                <w:sz w:val="20"/>
              </w:rPr>
              <w:t>RAZVOJ ODGOJNO OBRAZOVNOG SUSTAVA</w:t>
            </w:r>
          </w:p>
          <w:p w:rsidR="00CF082E" w:rsidRPr="00E61A0B" w:rsidRDefault="00CF082E" w:rsidP="00781205">
            <w:pPr>
              <w:rPr>
                <w:b/>
                <w:i/>
                <w:sz w:val="20"/>
              </w:rPr>
            </w:pPr>
          </w:p>
          <w:p w:rsidR="00CF082E" w:rsidRPr="007A0196" w:rsidRDefault="00CF082E" w:rsidP="00781205">
            <w:pPr>
              <w:rPr>
                <w:i/>
                <w:sz w:val="20"/>
              </w:rPr>
            </w:pP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Programi tijekom školske godine koji će pridonositi kvalitetnijoj realizaciji odgojno-obrazovnog programa s ciljem razvijanja znanja, vještina, kreativnosti, stjecanje iskustva i ostalog.</w:t>
            </w:r>
          </w:p>
          <w:p w:rsidR="00CF082E" w:rsidRPr="00BA1C20" w:rsidRDefault="00E003F2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E003F2">
              <w:rPr>
                <w:i/>
                <w:szCs w:val="24"/>
              </w:rPr>
              <w:t>S</w:t>
            </w:r>
            <w:r w:rsidR="00CF082E" w:rsidRPr="00E003F2">
              <w:rPr>
                <w:i/>
                <w:szCs w:val="24"/>
              </w:rPr>
              <w:t>ufinanciranje obvezne školske lektire</w:t>
            </w:r>
            <w:r w:rsidR="00CF082E" w:rsidRPr="00BA1C20">
              <w:rPr>
                <w:szCs w:val="24"/>
              </w:rPr>
              <w:t xml:space="preserve"> je povećanje broja kvalitetnih lektirnih naslova.</w:t>
            </w: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E003F2">
              <w:rPr>
                <w:i/>
                <w:szCs w:val="24"/>
              </w:rPr>
              <w:t>Školska shema - voće, povrće i mlijeko</w:t>
            </w:r>
            <w:r w:rsidRPr="00BA1C20">
              <w:rPr>
                <w:szCs w:val="24"/>
              </w:rPr>
              <w:t xml:space="preserve"> je povećanje unosa svježeg voća i povrća te mlijeka i mliječnih proizvoda kod svakog učenika, kao i podizanja svijesti o značaju zdrave prehrane kod školske djece.</w:t>
            </w:r>
          </w:p>
          <w:p w:rsidR="00E003F2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950CF9">
              <w:rPr>
                <w:i/>
                <w:szCs w:val="24"/>
              </w:rPr>
              <w:t xml:space="preserve">Učimo zajedno </w:t>
            </w:r>
            <w:r>
              <w:rPr>
                <w:szCs w:val="24"/>
              </w:rPr>
              <w:t xml:space="preserve"> je osigurati pomoć u učenju učenicima s teškoćama.</w:t>
            </w:r>
          </w:p>
          <w:p w:rsidR="00E003F2" w:rsidRDefault="00E003F2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="008268D0">
              <w:rPr>
                <w:i/>
                <w:szCs w:val="24"/>
              </w:rPr>
              <w:t>Sajam zanimanja</w:t>
            </w:r>
            <w:r w:rsidRPr="00EC3808">
              <w:rPr>
                <w:szCs w:val="24"/>
              </w:rPr>
              <w:t xml:space="preserve"> </w:t>
            </w:r>
            <w:r w:rsidR="000D198C">
              <w:rPr>
                <w:szCs w:val="24"/>
              </w:rPr>
              <w:t>je</w:t>
            </w:r>
            <w:r w:rsidR="00EC3808" w:rsidRPr="00AA3B14">
              <w:rPr>
                <w:color w:val="FF0000"/>
                <w:szCs w:val="24"/>
              </w:rPr>
              <w:t xml:space="preserve"> </w:t>
            </w:r>
            <w:r w:rsidR="000D198C">
              <w:t xml:space="preserve">predstaviti </w:t>
            </w:r>
            <w:r w:rsidR="000D198C" w:rsidRPr="000D198C">
              <w:rPr>
                <w:bCs/>
              </w:rPr>
              <w:t>srednje škole i učenički domovi</w:t>
            </w:r>
            <w:r w:rsidR="000D198C" w:rsidRPr="000D198C">
              <w:t xml:space="preserve">, kao i </w:t>
            </w:r>
            <w:r w:rsidR="000D198C" w:rsidRPr="000D198C">
              <w:rPr>
                <w:bCs/>
              </w:rPr>
              <w:t>ostale institucije</w:t>
            </w:r>
            <w:r w:rsidR="000D198C" w:rsidRPr="000D198C">
              <w:t xml:space="preserve"> </w:t>
            </w:r>
            <w:r w:rsidR="000D198C">
              <w:t>koje mogu pomoći u njihovom daljnjem usmjeravanju, uključujući HZZ, HOK, HGK, HZZ, MORH, MUP i druge organizacije i udruge koje nude obrazovne i karijerne mogućnosti</w:t>
            </w:r>
            <w:r w:rsidR="00EC3808" w:rsidRPr="00EC3808">
              <w:rPr>
                <w:szCs w:val="24"/>
              </w:rPr>
              <w:t>.</w:t>
            </w:r>
          </w:p>
          <w:p w:rsidR="00CF082E" w:rsidRPr="00BA1C20" w:rsidRDefault="00CF082E" w:rsidP="00007250">
            <w:pPr>
              <w:pStyle w:val="Bezproreda"/>
            </w:pPr>
          </w:p>
          <w:p w:rsidR="00CF082E" w:rsidRPr="006B6C24" w:rsidRDefault="00CF082E" w:rsidP="00781205">
            <w:pPr>
              <w:rPr>
                <w:sz w:val="20"/>
              </w:rPr>
            </w:pPr>
          </w:p>
          <w:p w:rsidR="00CF082E" w:rsidRPr="00CD72DE" w:rsidRDefault="00CF082E" w:rsidP="00781205">
            <w:pPr>
              <w:rPr>
                <w:szCs w:val="24"/>
              </w:rPr>
            </w:pPr>
            <w:r w:rsidRPr="00CD72DE">
              <w:rPr>
                <w:szCs w:val="24"/>
              </w:rPr>
              <w:t>Zakonska osnova za provođenje programa:</w:t>
            </w:r>
          </w:p>
          <w:p w:rsidR="00AA3B14" w:rsidRPr="005C387B" w:rsidRDefault="00AA3B14" w:rsidP="00AA3B1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AA3B14" w:rsidRPr="005C387B" w:rsidRDefault="00AA3B14" w:rsidP="00AA3B1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35/08, 127/19 i 151/22)</w:t>
            </w:r>
          </w:p>
          <w:p w:rsidR="00AA3B14" w:rsidRPr="005C387B" w:rsidRDefault="00AA3B14" w:rsidP="00AA3B14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(Narodne novine broj 87/08, 136/12, 15/15 i 144/21), Pravilnik o proračunskim klasifikacijama (Narodne novine broj 26/10, 120/13</w:t>
            </w:r>
            <w:r>
              <w:rPr>
                <w:sz w:val="20"/>
              </w:rPr>
              <w:t xml:space="preserve">, </w:t>
            </w:r>
            <w:r w:rsidRPr="005C387B">
              <w:rPr>
                <w:sz w:val="20"/>
              </w:rPr>
              <w:t>1/20</w:t>
            </w:r>
            <w:r>
              <w:rPr>
                <w:sz w:val="20"/>
              </w:rPr>
              <w:t xml:space="preserve"> i 4/24</w:t>
            </w:r>
            <w:r w:rsidRPr="005C387B">
              <w:rPr>
                <w:sz w:val="20"/>
              </w:rPr>
              <w:t>), Pravilnik o proračunskom računovodstvu i računskom planu (Narodne novine broj 124/14, 115/15, 87/16, 003/18, 126/19, 108/20 i 158/23), Zakon o fiskalnoj odgovornosti (Narodne novine broj 111/18</w:t>
            </w:r>
            <w:r>
              <w:rPr>
                <w:sz w:val="20"/>
              </w:rPr>
              <w:t xml:space="preserve"> i 83/23</w:t>
            </w:r>
            <w:r w:rsidRPr="005C387B">
              <w:rPr>
                <w:sz w:val="20"/>
              </w:rPr>
              <w:t>)</w:t>
            </w:r>
          </w:p>
          <w:p w:rsidR="006B1B6D" w:rsidRDefault="006B1B6D" w:rsidP="006B1B6D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713802">
              <w:rPr>
                <w:sz w:val="20"/>
              </w:rPr>
              <w:t>Upute za izradu Proračuna Osječko-baranjske županije za razdoblje 2025.-2027.  (dopis Upravnog odjela za obrazovanje od 30. rujna 2024.)</w:t>
            </w:r>
          </w:p>
          <w:p w:rsidR="006B1B6D" w:rsidRDefault="006B1B6D" w:rsidP="006B1B6D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Godišnji plan i program rada škole, Školski kurikulum Osnovne škole Josipa Kozarca, Semeljci, za školsku godinu 2024./2025.</w:t>
            </w:r>
          </w:p>
          <w:p w:rsidR="00CF082E" w:rsidRPr="008D70DD" w:rsidRDefault="00CF082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9"/>
              <w:gridCol w:w="2047"/>
              <w:gridCol w:w="1200"/>
              <w:gridCol w:w="1316"/>
              <w:gridCol w:w="1572"/>
            </w:tblGrid>
            <w:tr w:rsidR="00172BC1" w:rsidRPr="006B6C24" w:rsidTr="001C4735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1C4735" w:rsidRDefault="00172BC1" w:rsidP="00873596">
                  <w:pPr>
                    <w:pStyle w:val="Naslov7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Plan 202</w:t>
                  </w:r>
                  <w:r w:rsidR="00873596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5</w:t>
                  </w: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5C387B" w:rsidRDefault="00172BC1" w:rsidP="001C4735">
                  <w:pPr>
                    <w:pStyle w:val="TableParagraph"/>
                    <w:ind w:right="195" w:firstLine="35"/>
                    <w:jc w:val="center"/>
                    <w:rPr>
                      <w:spacing w:val="-42"/>
                      <w:sz w:val="18"/>
                    </w:rPr>
                  </w:pPr>
                  <w:r w:rsidRPr="005C387B">
                    <w:rPr>
                      <w:sz w:val="18"/>
                    </w:rPr>
                    <w:t>Izvršenje</w:t>
                  </w:r>
                </w:p>
                <w:p w:rsidR="00172BC1" w:rsidRPr="005C387B" w:rsidRDefault="00873596" w:rsidP="00873596">
                  <w:pPr>
                    <w:pStyle w:val="TableParagraph"/>
                    <w:ind w:right="195" w:firstLine="3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1.-6</w:t>
                  </w:r>
                  <w:r w:rsidR="00172BC1" w:rsidRPr="005C387B">
                    <w:rPr>
                      <w:sz w:val="18"/>
                    </w:rPr>
                    <w:t>.202</w:t>
                  </w:r>
                  <w:r>
                    <w:rPr>
                      <w:sz w:val="18"/>
                    </w:rPr>
                    <w:t>5</w:t>
                  </w:r>
                  <w:r w:rsidR="00172BC1" w:rsidRPr="005C387B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E003F2" w:rsidRDefault="00172BC1" w:rsidP="001C4735">
                  <w:pPr>
                    <w:pStyle w:val="TableParagraph"/>
                    <w:spacing w:line="226" w:lineRule="exact"/>
                    <w:ind w:right="78"/>
                    <w:jc w:val="center"/>
                    <w:rPr>
                      <w:sz w:val="20"/>
                    </w:rPr>
                  </w:pPr>
                  <w:r w:rsidRPr="00E003F2">
                    <w:rPr>
                      <w:sz w:val="20"/>
                    </w:rPr>
                    <w:t>Indeks</w:t>
                  </w:r>
                </w:p>
                <w:p w:rsidR="00172BC1" w:rsidRPr="00E003F2" w:rsidRDefault="00172BC1" w:rsidP="001C4735">
                  <w:pPr>
                    <w:pStyle w:val="TableParagraph"/>
                    <w:spacing w:before="2" w:line="210" w:lineRule="exact"/>
                    <w:ind w:right="78"/>
                    <w:jc w:val="center"/>
                    <w:rPr>
                      <w:sz w:val="20"/>
                    </w:rPr>
                  </w:pPr>
                  <w:r w:rsidRPr="00E003F2">
                    <w:rPr>
                      <w:sz w:val="20"/>
                    </w:rPr>
                    <w:t>(Izvršenje/Plan)</w:t>
                  </w:r>
                </w:p>
              </w:tc>
            </w:tr>
            <w:tr w:rsidR="00CF082E" w:rsidRPr="006B6C24" w:rsidTr="00172BC1">
              <w:trPr>
                <w:cantSplit/>
                <w:trHeight w:val="68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Sufinanciranje obvezne školske lektire</w:t>
                  </w:r>
                </w:p>
                <w:p w:rsidR="007B2427" w:rsidRPr="007B2427" w:rsidRDefault="007B2427" w:rsidP="007B2427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7B2427" w:rsidRPr="00C87AA6" w:rsidRDefault="007B2427" w:rsidP="007B2427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325</w:t>
                  </w:r>
                  <w:r w:rsidR="00CF082E" w:rsidRPr="0093013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  <w:r w:rsidR="007B2427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  <w:trHeight w:val="33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2427" w:rsidRDefault="00AA3B14" w:rsidP="007B2427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Sajam zanimanja</w:t>
                  </w:r>
                </w:p>
                <w:p w:rsidR="007B2427" w:rsidRPr="007B2427" w:rsidRDefault="007B2427" w:rsidP="007B2427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CF082E" w:rsidRPr="00C87AA6" w:rsidRDefault="007B2427" w:rsidP="007B2427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AA3B14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  <w:r w:rsidR="00CF082E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153,00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  <w:r w:rsidR="007B2427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Školska shema – voće i povrće,  mlijeko</w:t>
                  </w:r>
                </w:p>
                <w:p w:rsidR="007B2427" w:rsidRDefault="007B2427" w:rsidP="00381B65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:rsidR="00381B65" w:rsidRPr="00C87AA6" w:rsidRDefault="00381B65" w:rsidP="00381B65">
                  <w:pPr>
                    <w:pStyle w:val="TableParagraph"/>
                    <w:ind w:right="181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3.950</w:t>
                  </w:r>
                  <w:r w:rsidR="00381B65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3.182,46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9F105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80,57</w:t>
                  </w:r>
                  <w:r w:rsidR="00381B65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 xml:space="preserve">Učimo zajedno </w:t>
                  </w:r>
                </w:p>
                <w:p w:rsidR="00381B65" w:rsidRDefault="00381B65" w:rsidP="00381B65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:rsidR="00381B65" w:rsidRPr="00C87AA6" w:rsidRDefault="00381B65" w:rsidP="00381B65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9F1050" w:rsidP="00E912A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13.000</w:t>
                  </w:r>
                  <w:r w:rsidR="00381B65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9F105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6.029,57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9F1050" w:rsidP="00AA3B1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46,38</w:t>
                  </w:r>
                  <w:r w:rsidR="00381B65">
                    <w:rPr>
                      <w:sz w:val="20"/>
                    </w:rPr>
                    <w:t xml:space="preserve"> %</w:t>
                  </w:r>
                </w:p>
              </w:tc>
            </w:tr>
            <w:tr w:rsidR="00FD29C0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FD29C0" w:rsidP="00FD29C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5.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Default="00AA3B14" w:rsidP="00FD29C0">
                  <w:pPr>
                    <w:pStyle w:val="TableParagraph"/>
                    <w:ind w:right="181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Učimo zajedno</w:t>
                  </w:r>
                </w:p>
                <w:p w:rsidR="00FD29C0" w:rsidRPr="007B2427" w:rsidRDefault="00FD29C0" w:rsidP="00FD29C0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FD29C0" w:rsidRPr="00381B65" w:rsidRDefault="00FD29C0" w:rsidP="00FD29C0">
                  <w:pPr>
                    <w:rPr>
                      <w:bCs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9F105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800</w:t>
                  </w:r>
                  <w:r w:rsidR="00FD29C0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9F1050" w:rsidP="009F105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400</w:t>
                  </w:r>
                  <w:r w:rsidR="00AA3B14">
                    <w:rPr>
                      <w:bCs/>
                      <w:sz w:val="20"/>
                    </w:rPr>
                    <w:t>,</w:t>
                  </w:r>
                  <w:r>
                    <w:rPr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9F105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50,00</w:t>
                  </w:r>
                  <w:r w:rsidR="00FD29C0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CF082E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CF082E" w:rsidP="00781205">
                  <w:pPr>
                    <w:rPr>
                      <w:bCs/>
                      <w:sz w:val="20"/>
                    </w:rPr>
                  </w:pPr>
                  <w:r w:rsidRPr="00381B65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9F105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18.228</w:t>
                  </w:r>
                  <w:r w:rsidR="00381B65" w:rsidRPr="00381B65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9F105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9.765,03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9F105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53,57</w:t>
                  </w:r>
                  <w:r w:rsidR="00381B65" w:rsidRPr="00381B65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5"/>
              <w:gridCol w:w="1418"/>
              <w:gridCol w:w="1417"/>
              <w:gridCol w:w="1418"/>
            </w:tblGrid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6B6C24" w:rsidRDefault="00381B65" w:rsidP="00781205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</w:t>
                  </w:r>
                  <w:r w:rsidRPr="006B6C24">
                    <w:rPr>
                      <w:bCs/>
                      <w:sz w:val="20"/>
                    </w:rPr>
                    <w:t>okazatelj uspješnosti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Polazna</w:t>
                  </w:r>
                </w:p>
                <w:p w:rsidR="00381B65" w:rsidRPr="001C4735" w:rsidRDefault="00381B65" w:rsidP="001C473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735">
                    <w:rPr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Ciljana</w:t>
                  </w:r>
                </w:p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vrijednost</w:t>
                  </w:r>
                </w:p>
                <w:p w:rsidR="00381B65" w:rsidRPr="001C4735" w:rsidRDefault="00F321D0" w:rsidP="00873596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202</w:t>
                  </w:r>
                  <w:r w:rsidR="00873596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5</w:t>
                  </w:r>
                  <w:r w:rsidR="00381B65"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C387B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Ostvarena vrijednost</w:t>
                  </w:r>
                </w:p>
                <w:p w:rsidR="00381B65" w:rsidRPr="001C4735" w:rsidRDefault="00381B65" w:rsidP="00873596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1.-</w:t>
                  </w:r>
                  <w:r w:rsidR="00873596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6</w:t>
                  </w:r>
                  <w:r w:rsidR="00F321D0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.202</w:t>
                  </w:r>
                  <w:r w:rsidR="00873596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5</w:t>
                  </w: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6B6C24" w:rsidRDefault="00381B65" w:rsidP="00381B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SUFINANCIRANJE OBAVEZNE ŠKOLSKE LEKTIRE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9F1050" w:rsidP="005130C7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9F1050" w:rsidP="005130C7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007250" w:rsidRDefault="00007250" w:rsidP="005130C7">
                  <w:pPr>
                    <w:jc w:val="center"/>
                    <w:rPr>
                      <w:sz w:val="20"/>
                    </w:rPr>
                  </w:pPr>
                  <w:r w:rsidRPr="00007250">
                    <w:rPr>
                      <w:sz w:val="20"/>
                    </w:rPr>
                    <w:t>0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5130C7" w:rsidP="00381B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SAJAM ZANIMANJA</w:t>
                  </w:r>
                </w:p>
                <w:p w:rsidR="00181D63" w:rsidRPr="00381B65" w:rsidRDefault="00181D63" w:rsidP="005130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učenika koji su sudjelovali na </w:t>
                  </w:r>
                  <w:r w:rsidR="005130C7">
                    <w:rPr>
                      <w:sz w:val="20"/>
                    </w:rPr>
                    <w:t>Sajmu zanimanja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BA68F9" w:rsidP="00781205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35</w:t>
                  </w:r>
                  <w:r w:rsidR="00181D63" w:rsidRPr="00BA68F9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BA68F9" w:rsidP="009F1050">
                  <w:pPr>
                    <w:jc w:val="center"/>
                    <w:rPr>
                      <w:sz w:val="20"/>
                    </w:rPr>
                  </w:pPr>
                  <w:r w:rsidRPr="00BA68F9">
                    <w:rPr>
                      <w:sz w:val="20"/>
                    </w:rPr>
                    <w:t>3</w:t>
                  </w:r>
                  <w:r w:rsidR="009F1050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007250" w:rsidRDefault="00007250" w:rsidP="00781205">
                  <w:pPr>
                    <w:jc w:val="center"/>
                    <w:rPr>
                      <w:sz w:val="20"/>
                    </w:rPr>
                  </w:pPr>
                  <w:r w:rsidRPr="00007250">
                    <w:rPr>
                      <w:sz w:val="20"/>
                    </w:rPr>
                    <w:t>31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381B65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</w:t>
                  </w:r>
                </w:p>
                <w:p w:rsidR="00381B65" w:rsidRPr="002D5658" w:rsidRDefault="00181D63" w:rsidP="00781205">
                  <w:pPr>
                    <w:rPr>
                      <w:i/>
                      <w:sz w:val="20"/>
                    </w:rPr>
                  </w:pPr>
                  <w:r w:rsidRPr="002D5658">
                    <w:rPr>
                      <w:i/>
                      <w:sz w:val="20"/>
                    </w:rPr>
                    <w:t>ŠKOLSKA SHEMA – VOĆE I POVRĆE,  MLIJEKO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9F1050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BA68F9" w:rsidRDefault="009F1050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007250" w:rsidRDefault="005130C7" w:rsidP="00781205">
                  <w:pPr>
                    <w:jc w:val="center"/>
                    <w:rPr>
                      <w:sz w:val="20"/>
                    </w:rPr>
                  </w:pPr>
                  <w:r w:rsidRPr="00007250">
                    <w:rPr>
                      <w:sz w:val="20"/>
                    </w:rPr>
                    <w:t>322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381B65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</w:t>
                  </w:r>
                </w:p>
                <w:p w:rsidR="00381B65" w:rsidRPr="00950CF9" w:rsidRDefault="00181D63" w:rsidP="00E003F2">
                  <w:pPr>
                    <w:rPr>
                      <w:i/>
                      <w:sz w:val="20"/>
                    </w:rPr>
                  </w:pPr>
                  <w:r w:rsidRPr="00950CF9">
                    <w:rPr>
                      <w:i/>
                      <w:sz w:val="20"/>
                    </w:rPr>
                    <w:t xml:space="preserve">UČIMO ZAJEDNO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7F2D22" w:rsidP="00781205">
                  <w:pPr>
                    <w:jc w:val="center"/>
                    <w:rPr>
                      <w:sz w:val="20"/>
                    </w:rPr>
                  </w:pPr>
                  <w:r w:rsidRPr="005130C7">
                    <w:rPr>
                      <w:sz w:val="20"/>
                    </w:rPr>
                    <w:t>1 učenik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7F2D22" w:rsidP="00781205">
                  <w:pPr>
                    <w:jc w:val="center"/>
                    <w:rPr>
                      <w:sz w:val="20"/>
                    </w:rPr>
                  </w:pPr>
                  <w:r w:rsidRPr="005130C7">
                    <w:rPr>
                      <w:sz w:val="20"/>
                    </w:rPr>
                    <w:t>1 učenik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130C7" w:rsidRDefault="007F2D22" w:rsidP="00781205">
                  <w:pPr>
                    <w:jc w:val="center"/>
                    <w:rPr>
                      <w:sz w:val="20"/>
                    </w:rPr>
                  </w:pPr>
                  <w:r w:rsidRPr="005130C7">
                    <w:rPr>
                      <w:sz w:val="20"/>
                    </w:rPr>
                    <w:t>1 učenik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181D63" w:rsidRPr="006B6C24" w:rsidRDefault="00181D63" w:rsidP="00E912A3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/>
    <w:p w:rsidR="00CF082E" w:rsidRDefault="00CF082E" w:rsidP="00CF082E"/>
    <w:p w:rsidR="0081412B" w:rsidRDefault="0081412B" w:rsidP="00CF082E"/>
    <w:p w:rsidR="0081412B" w:rsidRDefault="0081412B" w:rsidP="0081412B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Posebni izvještaji</w:t>
      </w:r>
    </w:p>
    <w:p w:rsidR="0081412B" w:rsidRDefault="0081412B" w:rsidP="0081412B">
      <w:pPr>
        <w:ind w:left="236"/>
        <w:rPr>
          <w:rFonts w:ascii="Calibri" w:hAnsi="Calibri"/>
          <w:b/>
        </w:rPr>
      </w:pPr>
    </w:p>
    <w:p w:rsidR="0081412B" w:rsidRPr="00D07886" w:rsidRDefault="0081412B" w:rsidP="0081412B">
      <w:pPr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Osnovna škola Josipa Kozaraca unutar promatranog razdoblja nema: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zaduživanja na domaćem i stranom tržištu novca i kapitala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 xml:space="preserve">- korištenje </w:t>
      </w:r>
      <w:r w:rsidR="005130C7">
        <w:rPr>
          <w:rFonts w:ascii="Calibri" w:hAnsi="Calibri"/>
          <w:sz w:val="20"/>
          <w:szCs w:val="20"/>
        </w:rPr>
        <w:t>s</w:t>
      </w:r>
      <w:r w:rsidRPr="00D07886">
        <w:rPr>
          <w:rFonts w:ascii="Calibri" w:hAnsi="Calibri"/>
          <w:sz w:val="20"/>
          <w:szCs w:val="20"/>
        </w:rPr>
        <w:t>redstava fondova Europske unije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danih zajmova i potraživanja po danim zajmovima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potencijalnih obveza po osnovi sudskih sporova</w:t>
      </w:r>
    </w:p>
    <w:p w:rsidR="0081412B" w:rsidRPr="0081412B" w:rsidRDefault="0081412B" w:rsidP="0081412B">
      <w:pPr>
        <w:rPr>
          <w:rFonts w:ascii="Calibri" w:hAnsi="Calibri"/>
        </w:rPr>
      </w:pPr>
    </w:p>
    <w:p w:rsidR="0081412B" w:rsidRDefault="0081412B" w:rsidP="00CF082E"/>
    <w:p w:rsidR="00CF082E" w:rsidRDefault="00CF082E" w:rsidP="00CF082E"/>
    <w:p w:rsidR="00D07886" w:rsidRDefault="00CF082E" w:rsidP="00CF0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62FF" w:rsidRDefault="004462FF" w:rsidP="00C96124">
      <w:pPr>
        <w:ind w:left="6480" w:firstLine="720"/>
      </w:pPr>
    </w:p>
    <w:p w:rsidR="004462FF" w:rsidRDefault="004462FF" w:rsidP="00C96124">
      <w:pPr>
        <w:ind w:left="6480" w:firstLine="720"/>
      </w:pPr>
    </w:p>
    <w:p w:rsidR="00CF082E" w:rsidRDefault="00CF082E" w:rsidP="00C96124">
      <w:pPr>
        <w:ind w:left="6480" w:firstLine="720"/>
      </w:pPr>
      <w:r>
        <w:t>Ravnateljica:</w:t>
      </w:r>
    </w:p>
    <w:p w:rsidR="00CF082E" w:rsidRPr="006B6C24" w:rsidRDefault="00CF082E" w:rsidP="00CF0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Ružica Primorac, prof.</w:t>
      </w:r>
    </w:p>
    <w:p w:rsidR="00CF082E" w:rsidRDefault="0081412B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1412B" w:rsidRDefault="0081412B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</w:t>
      </w:r>
    </w:p>
    <w:sectPr w:rsidR="0081412B">
      <w:pgSz w:w="11910" w:h="16840"/>
      <w:pgMar w:top="1380" w:right="640" w:bottom="280" w:left="11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EA" w:rsidRDefault="005D01EA">
      <w:r>
        <w:separator/>
      </w:r>
    </w:p>
  </w:endnote>
  <w:endnote w:type="continuationSeparator" w:id="0">
    <w:p w:rsidR="005D01EA" w:rsidRDefault="005D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841188"/>
      <w:docPartObj>
        <w:docPartGallery w:val="Page Numbers (Bottom of Page)"/>
        <w:docPartUnique/>
      </w:docPartObj>
    </w:sdtPr>
    <w:sdtEndPr/>
    <w:sdtContent>
      <w:p w:rsidR="00323589" w:rsidRDefault="003235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42F">
          <w:rPr>
            <w:noProof/>
          </w:rPr>
          <w:t>2</w:t>
        </w:r>
        <w:r>
          <w:fldChar w:fldCharType="end"/>
        </w:r>
      </w:p>
    </w:sdtContent>
  </w:sdt>
  <w:p w:rsidR="00323589" w:rsidRDefault="003235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EA" w:rsidRDefault="005D01EA">
      <w:r>
        <w:separator/>
      </w:r>
    </w:p>
  </w:footnote>
  <w:footnote w:type="continuationSeparator" w:id="0">
    <w:p w:rsidR="005D01EA" w:rsidRDefault="005D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9F"/>
    <w:multiLevelType w:val="hybridMultilevel"/>
    <w:tmpl w:val="E454F408"/>
    <w:lvl w:ilvl="0" w:tplc="89E0F434">
      <w:numFmt w:val="bullet"/>
      <w:lvlText w:val="-"/>
      <w:lvlJc w:val="left"/>
      <w:pPr>
        <w:ind w:left="708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1" w:tplc="00CAA274">
      <w:numFmt w:val="bullet"/>
      <w:lvlText w:val="•"/>
      <w:lvlJc w:val="left"/>
      <w:pPr>
        <w:ind w:left="1323" w:hanging="348"/>
      </w:pPr>
      <w:rPr>
        <w:rFonts w:hint="default"/>
        <w:lang w:val="bs" w:eastAsia="en-US" w:bidi="ar-SA"/>
      </w:rPr>
    </w:lvl>
    <w:lvl w:ilvl="2" w:tplc="B8925044">
      <w:numFmt w:val="bullet"/>
      <w:lvlText w:val="•"/>
      <w:lvlJc w:val="left"/>
      <w:pPr>
        <w:ind w:left="1946" w:hanging="348"/>
      </w:pPr>
      <w:rPr>
        <w:rFonts w:hint="default"/>
        <w:lang w:val="bs" w:eastAsia="en-US" w:bidi="ar-SA"/>
      </w:rPr>
    </w:lvl>
    <w:lvl w:ilvl="3" w:tplc="D2CEBC7C">
      <w:numFmt w:val="bullet"/>
      <w:lvlText w:val="•"/>
      <w:lvlJc w:val="left"/>
      <w:pPr>
        <w:ind w:left="2569" w:hanging="348"/>
      </w:pPr>
      <w:rPr>
        <w:rFonts w:hint="default"/>
        <w:lang w:val="bs" w:eastAsia="en-US" w:bidi="ar-SA"/>
      </w:rPr>
    </w:lvl>
    <w:lvl w:ilvl="4" w:tplc="68AAAE6A">
      <w:numFmt w:val="bullet"/>
      <w:lvlText w:val="•"/>
      <w:lvlJc w:val="left"/>
      <w:pPr>
        <w:ind w:left="3192" w:hanging="348"/>
      </w:pPr>
      <w:rPr>
        <w:rFonts w:hint="default"/>
        <w:lang w:val="bs" w:eastAsia="en-US" w:bidi="ar-SA"/>
      </w:rPr>
    </w:lvl>
    <w:lvl w:ilvl="5" w:tplc="9970E4A8">
      <w:numFmt w:val="bullet"/>
      <w:lvlText w:val="•"/>
      <w:lvlJc w:val="left"/>
      <w:pPr>
        <w:ind w:left="3816" w:hanging="348"/>
      </w:pPr>
      <w:rPr>
        <w:rFonts w:hint="default"/>
        <w:lang w:val="bs" w:eastAsia="en-US" w:bidi="ar-SA"/>
      </w:rPr>
    </w:lvl>
    <w:lvl w:ilvl="6" w:tplc="B0C2B342">
      <w:numFmt w:val="bullet"/>
      <w:lvlText w:val="•"/>
      <w:lvlJc w:val="left"/>
      <w:pPr>
        <w:ind w:left="4439" w:hanging="348"/>
      </w:pPr>
      <w:rPr>
        <w:rFonts w:hint="default"/>
        <w:lang w:val="bs" w:eastAsia="en-US" w:bidi="ar-SA"/>
      </w:rPr>
    </w:lvl>
    <w:lvl w:ilvl="7" w:tplc="A23A2CD0">
      <w:numFmt w:val="bullet"/>
      <w:lvlText w:val="•"/>
      <w:lvlJc w:val="left"/>
      <w:pPr>
        <w:ind w:left="5062" w:hanging="348"/>
      </w:pPr>
      <w:rPr>
        <w:rFonts w:hint="default"/>
        <w:lang w:val="bs" w:eastAsia="en-US" w:bidi="ar-SA"/>
      </w:rPr>
    </w:lvl>
    <w:lvl w:ilvl="8" w:tplc="7B6A0EF6">
      <w:numFmt w:val="bullet"/>
      <w:lvlText w:val="•"/>
      <w:lvlJc w:val="left"/>
      <w:pPr>
        <w:ind w:left="5685" w:hanging="348"/>
      </w:pPr>
      <w:rPr>
        <w:rFonts w:hint="default"/>
        <w:lang w:val="bs" w:eastAsia="en-US" w:bidi="ar-SA"/>
      </w:rPr>
    </w:lvl>
  </w:abstractNum>
  <w:abstractNum w:abstractNumId="1" w15:restartNumberingAfterBreak="0">
    <w:nsid w:val="0EE76432"/>
    <w:multiLevelType w:val="hybridMultilevel"/>
    <w:tmpl w:val="21DEB6D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492B"/>
    <w:multiLevelType w:val="hybridMultilevel"/>
    <w:tmpl w:val="FCE8E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C12"/>
    <w:multiLevelType w:val="hybridMultilevel"/>
    <w:tmpl w:val="4D483C26"/>
    <w:lvl w:ilvl="0" w:tplc="E9EA6316">
      <w:numFmt w:val="bullet"/>
      <w:lvlText w:val="-"/>
      <w:lvlJc w:val="left"/>
      <w:pPr>
        <w:ind w:left="2585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s" w:eastAsia="en-US" w:bidi="ar-SA"/>
      </w:rPr>
    </w:lvl>
    <w:lvl w:ilvl="1" w:tplc="E3048D50">
      <w:numFmt w:val="bullet"/>
      <w:lvlText w:val="-"/>
      <w:lvlJc w:val="left"/>
      <w:pPr>
        <w:ind w:left="2921" w:hanging="5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2" w:tplc="B7140D78">
      <w:numFmt w:val="bullet"/>
      <w:lvlText w:val="•"/>
      <w:lvlJc w:val="left"/>
      <w:pPr>
        <w:ind w:left="3716" w:hanging="572"/>
      </w:pPr>
      <w:rPr>
        <w:rFonts w:hint="default"/>
        <w:lang w:val="bs" w:eastAsia="en-US" w:bidi="ar-SA"/>
      </w:rPr>
    </w:lvl>
    <w:lvl w:ilvl="3" w:tplc="0D2C9C42">
      <w:numFmt w:val="bullet"/>
      <w:lvlText w:val="•"/>
      <w:lvlJc w:val="left"/>
      <w:pPr>
        <w:ind w:left="4512" w:hanging="572"/>
      </w:pPr>
      <w:rPr>
        <w:rFonts w:hint="default"/>
        <w:lang w:val="bs" w:eastAsia="en-US" w:bidi="ar-SA"/>
      </w:rPr>
    </w:lvl>
    <w:lvl w:ilvl="4" w:tplc="3E768478">
      <w:numFmt w:val="bullet"/>
      <w:lvlText w:val="•"/>
      <w:lvlJc w:val="left"/>
      <w:pPr>
        <w:ind w:left="5309" w:hanging="572"/>
      </w:pPr>
      <w:rPr>
        <w:rFonts w:hint="default"/>
        <w:lang w:val="bs" w:eastAsia="en-US" w:bidi="ar-SA"/>
      </w:rPr>
    </w:lvl>
    <w:lvl w:ilvl="5" w:tplc="80047A4E">
      <w:numFmt w:val="bullet"/>
      <w:lvlText w:val="•"/>
      <w:lvlJc w:val="left"/>
      <w:pPr>
        <w:ind w:left="6105" w:hanging="572"/>
      </w:pPr>
      <w:rPr>
        <w:rFonts w:hint="default"/>
        <w:lang w:val="bs" w:eastAsia="en-US" w:bidi="ar-SA"/>
      </w:rPr>
    </w:lvl>
    <w:lvl w:ilvl="6" w:tplc="9222BDFE">
      <w:numFmt w:val="bullet"/>
      <w:lvlText w:val="•"/>
      <w:lvlJc w:val="left"/>
      <w:pPr>
        <w:ind w:left="6902" w:hanging="572"/>
      </w:pPr>
      <w:rPr>
        <w:rFonts w:hint="default"/>
        <w:lang w:val="bs" w:eastAsia="en-US" w:bidi="ar-SA"/>
      </w:rPr>
    </w:lvl>
    <w:lvl w:ilvl="7" w:tplc="6FFA5310">
      <w:numFmt w:val="bullet"/>
      <w:lvlText w:val="•"/>
      <w:lvlJc w:val="left"/>
      <w:pPr>
        <w:ind w:left="7698" w:hanging="572"/>
      </w:pPr>
      <w:rPr>
        <w:rFonts w:hint="default"/>
        <w:lang w:val="bs" w:eastAsia="en-US" w:bidi="ar-SA"/>
      </w:rPr>
    </w:lvl>
    <w:lvl w:ilvl="8" w:tplc="E0560230">
      <w:numFmt w:val="bullet"/>
      <w:lvlText w:val="•"/>
      <w:lvlJc w:val="left"/>
      <w:pPr>
        <w:ind w:left="8495" w:hanging="572"/>
      </w:pPr>
      <w:rPr>
        <w:rFonts w:hint="default"/>
        <w:lang w:val="bs" w:eastAsia="en-US" w:bidi="ar-SA"/>
      </w:rPr>
    </w:lvl>
  </w:abstractNum>
  <w:abstractNum w:abstractNumId="4" w15:restartNumberingAfterBreak="0">
    <w:nsid w:val="2DE855B1"/>
    <w:multiLevelType w:val="hybridMultilevel"/>
    <w:tmpl w:val="461E6DB2"/>
    <w:lvl w:ilvl="0" w:tplc="1B7EFE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16B3"/>
    <w:multiLevelType w:val="hybridMultilevel"/>
    <w:tmpl w:val="1B8C3DA6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C2A091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E1AB8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226994"/>
    <w:multiLevelType w:val="hybridMultilevel"/>
    <w:tmpl w:val="22322F42"/>
    <w:lvl w:ilvl="0" w:tplc="57BAEC22">
      <w:numFmt w:val="bullet"/>
      <w:lvlText w:val="-"/>
      <w:lvlJc w:val="left"/>
      <w:pPr>
        <w:ind w:left="124" w:hanging="5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8C3C5466">
      <w:numFmt w:val="bullet"/>
      <w:lvlText w:val="•"/>
      <w:lvlJc w:val="left"/>
      <w:pPr>
        <w:ind w:left="823" w:hanging="572"/>
      </w:pPr>
      <w:rPr>
        <w:rFonts w:hint="default"/>
        <w:lang w:val="bs" w:eastAsia="en-US" w:bidi="ar-SA"/>
      </w:rPr>
    </w:lvl>
    <w:lvl w:ilvl="2" w:tplc="60306D5E">
      <w:numFmt w:val="bullet"/>
      <w:lvlText w:val="•"/>
      <w:lvlJc w:val="left"/>
      <w:pPr>
        <w:ind w:left="1527" w:hanging="572"/>
      </w:pPr>
      <w:rPr>
        <w:rFonts w:hint="default"/>
        <w:lang w:val="bs" w:eastAsia="en-US" w:bidi="ar-SA"/>
      </w:rPr>
    </w:lvl>
    <w:lvl w:ilvl="3" w:tplc="1D9C38C2">
      <w:numFmt w:val="bullet"/>
      <w:lvlText w:val="•"/>
      <w:lvlJc w:val="left"/>
      <w:pPr>
        <w:ind w:left="2231" w:hanging="572"/>
      </w:pPr>
      <w:rPr>
        <w:rFonts w:hint="default"/>
        <w:lang w:val="bs" w:eastAsia="en-US" w:bidi="ar-SA"/>
      </w:rPr>
    </w:lvl>
    <w:lvl w:ilvl="4" w:tplc="CE447E2A">
      <w:numFmt w:val="bullet"/>
      <w:lvlText w:val="•"/>
      <w:lvlJc w:val="left"/>
      <w:pPr>
        <w:ind w:left="2935" w:hanging="572"/>
      </w:pPr>
      <w:rPr>
        <w:rFonts w:hint="default"/>
        <w:lang w:val="bs" w:eastAsia="en-US" w:bidi="ar-SA"/>
      </w:rPr>
    </w:lvl>
    <w:lvl w:ilvl="5" w:tplc="9F585F4A">
      <w:numFmt w:val="bullet"/>
      <w:lvlText w:val="•"/>
      <w:lvlJc w:val="left"/>
      <w:pPr>
        <w:ind w:left="3639" w:hanging="572"/>
      </w:pPr>
      <w:rPr>
        <w:rFonts w:hint="default"/>
        <w:lang w:val="bs" w:eastAsia="en-US" w:bidi="ar-SA"/>
      </w:rPr>
    </w:lvl>
    <w:lvl w:ilvl="6" w:tplc="FEB05AFA">
      <w:numFmt w:val="bullet"/>
      <w:lvlText w:val="•"/>
      <w:lvlJc w:val="left"/>
      <w:pPr>
        <w:ind w:left="4342" w:hanging="572"/>
      </w:pPr>
      <w:rPr>
        <w:rFonts w:hint="default"/>
        <w:lang w:val="bs" w:eastAsia="en-US" w:bidi="ar-SA"/>
      </w:rPr>
    </w:lvl>
    <w:lvl w:ilvl="7" w:tplc="A29A8D0C">
      <w:numFmt w:val="bullet"/>
      <w:lvlText w:val="•"/>
      <w:lvlJc w:val="left"/>
      <w:pPr>
        <w:ind w:left="5046" w:hanging="572"/>
      </w:pPr>
      <w:rPr>
        <w:rFonts w:hint="default"/>
        <w:lang w:val="bs" w:eastAsia="en-US" w:bidi="ar-SA"/>
      </w:rPr>
    </w:lvl>
    <w:lvl w:ilvl="8" w:tplc="716A90C8">
      <w:numFmt w:val="bullet"/>
      <w:lvlText w:val="•"/>
      <w:lvlJc w:val="left"/>
      <w:pPr>
        <w:ind w:left="5750" w:hanging="572"/>
      </w:pPr>
      <w:rPr>
        <w:rFonts w:hint="default"/>
        <w:lang w:val="bs" w:eastAsia="en-US" w:bidi="ar-SA"/>
      </w:rPr>
    </w:lvl>
  </w:abstractNum>
  <w:abstractNum w:abstractNumId="8" w15:restartNumberingAfterBreak="0">
    <w:nsid w:val="39261E64"/>
    <w:multiLevelType w:val="hybridMultilevel"/>
    <w:tmpl w:val="1478AD94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C2D36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3B3E69"/>
    <w:multiLevelType w:val="hybridMultilevel"/>
    <w:tmpl w:val="8F9E184C"/>
    <w:lvl w:ilvl="0" w:tplc="37F2C3EA">
      <w:start w:val="1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B24C8"/>
    <w:multiLevelType w:val="hybridMultilevel"/>
    <w:tmpl w:val="A07C51BE"/>
    <w:lvl w:ilvl="0" w:tplc="7476542A">
      <w:numFmt w:val="bullet"/>
      <w:lvlText w:val="-"/>
      <w:lvlJc w:val="left"/>
      <w:pPr>
        <w:ind w:left="817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1" w:tplc="1F9E3540">
      <w:numFmt w:val="bullet"/>
      <w:lvlText w:val="•"/>
      <w:lvlJc w:val="left"/>
      <w:pPr>
        <w:ind w:left="1447" w:hanging="348"/>
      </w:pPr>
      <w:rPr>
        <w:rFonts w:hint="default"/>
        <w:lang w:val="bs" w:eastAsia="en-US" w:bidi="ar-SA"/>
      </w:rPr>
    </w:lvl>
    <w:lvl w:ilvl="2" w:tplc="1E863FBA">
      <w:numFmt w:val="bullet"/>
      <w:lvlText w:val="•"/>
      <w:lvlJc w:val="left"/>
      <w:pPr>
        <w:ind w:left="2075" w:hanging="348"/>
      </w:pPr>
      <w:rPr>
        <w:rFonts w:hint="default"/>
        <w:lang w:val="bs" w:eastAsia="en-US" w:bidi="ar-SA"/>
      </w:rPr>
    </w:lvl>
    <w:lvl w:ilvl="3" w:tplc="55FADF38">
      <w:numFmt w:val="bullet"/>
      <w:lvlText w:val="•"/>
      <w:lvlJc w:val="left"/>
      <w:pPr>
        <w:ind w:left="2703" w:hanging="348"/>
      </w:pPr>
      <w:rPr>
        <w:rFonts w:hint="default"/>
        <w:lang w:val="bs" w:eastAsia="en-US" w:bidi="ar-SA"/>
      </w:rPr>
    </w:lvl>
    <w:lvl w:ilvl="4" w:tplc="218A327A">
      <w:numFmt w:val="bullet"/>
      <w:lvlText w:val="•"/>
      <w:lvlJc w:val="left"/>
      <w:pPr>
        <w:ind w:left="3331" w:hanging="348"/>
      </w:pPr>
      <w:rPr>
        <w:rFonts w:hint="default"/>
        <w:lang w:val="bs" w:eastAsia="en-US" w:bidi="ar-SA"/>
      </w:rPr>
    </w:lvl>
    <w:lvl w:ilvl="5" w:tplc="EDFA1FE6">
      <w:numFmt w:val="bullet"/>
      <w:lvlText w:val="•"/>
      <w:lvlJc w:val="left"/>
      <w:pPr>
        <w:ind w:left="3959" w:hanging="348"/>
      </w:pPr>
      <w:rPr>
        <w:rFonts w:hint="default"/>
        <w:lang w:val="bs" w:eastAsia="en-US" w:bidi="ar-SA"/>
      </w:rPr>
    </w:lvl>
    <w:lvl w:ilvl="6" w:tplc="1174CBEE">
      <w:numFmt w:val="bullet"/>
      <w:lvlText w:val="•"/>
      <w:lvlJc w:val="left"/>
      <w:pPr>
        <w:ind w:left="4586" w:hanging="348"/>
      </w:pPr>
      <w:rPr>
        <w:rFonts w:hint="default"/>
        <w:lang w:val="bs" w:eastAsia="en-US" w:bidi="ar-SA"/>
      </w:rPr>
    </w:lvl>
    <w:lvl w:ilvl="7" w:tplc="24960176">
      <w:numFmt w:val="bullet"/>
      <w:lvlText w:val="•"/>
      <w:lvlJc w:val="left"/>
      <w:pPr>
        <w:ind w:left="5214" w:hanging="348"/>
      </w:pPr>
      <w:rPr>
        <w:rFonts w:hint="default"/>
        <w:lang w:val="bs" w:eastAsia="en-US" w:bidi="ar-SA"/>
      </w:rPr>
    </w:lvl>
    <w:lvl w:ilvl="8" w:tplc="66205838">
      <w:numFmt w:val="bullet"/>
      <w:lvlText w:val="•"/>
      <w:lvlJc w:val="left"/>
      <w:pPr>
        <w:ind w:left="5842" w:hanging="348"/>
      </w:pPr>
      <w:rPr>
        <w:rFonts w:hint="default"/>
        <w:lang w:val="bs" w:eastAsia="en-US" w:bidi="ar-SA"/>
      </w:rPr>
    </w:lvl>
  </w:abstractNum>
  <w:abstractNum w:abstractNumId="12" w15:restartNumberingAfterBreak="0">
    <w:nsid w:val="57D7287B"/>
    <w:multiLevelType w:val="hybridMultilevel"/>
    <w:tmpl w:val="5C06AD94"/>
    <w:lvl w:ilvl="0" w:tplc="4CDC26C2">
      <w:start w:val="1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7373"/>
    <w:multiLevelType w:val="hybridMultilevel"/>
    <w:tmpl w:val="7272E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7723F"/>
    <w:multiLevelType w:val="multilevel"/>
    <w:tmpl w:val="6C4279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F4E7F6E"/>
    <w:multiLevelType w:val="hybridMultilevel"/>
    <w:tmpl w:val="071C0FAC"/>
    <w:lvl w:ilvl="0" w:tplc="BEFEB2AC">
      <w:numFmt w:val="bullet"/>
      <w:lvlText w:val="–"/>
      <w:lvlJc w:val="left"/>
      <w:pPr>
        <w:ind w:left="328" w:hanging="152"/>
      </w:pPr>
      <w:rPr>
        <w:rFonts w:ascii="Times New Roman" w:eastAsia="Times New Roman" w:hAnsi="Times New Roman" w:cs="Times New Roman" w:hint="default"/>
        <w:color w:val="4471C4"/>
        <w:w w:val="100"/>
        <w:sz w:val="20"/>
        <w:szCs w:val="20"/>
        <w:lang w:val="bs" w:eastAsia="en-US" w:bidi="ar-SA"/>
      </w:rPr>
    </w:lvl>
    <w:lvl w:ilvl="1" w:tplc="138ADCD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2" w:tplc="B6205B10">
      <w:numFmt w:val="bullet"/>
      <w:lvlText w:val="•"/>
      <w:lvlJc w:val="left"/>
      <w:pPr>
        <w:ind w:left="1542" w:hanging="348"/>
      </w:pPr>
      <w:rPr>
        <w:rFonts w:hint="default"/>
        <w:lang w:val="bs" w:eastAsia="en-US" w:bidi="ar-SA"/>
      </w:rPr>
    </w:lvl>
    <w:lvl w:ilvl="3" w:tplc="DA7E9EE0">
      <w:numFmt w:val="bullet"/>
      <w:lvlText w:val="•"/>
      <w:lvlJc w:val="left"/>
      <w:pPr>
        <w:ind w:left="2244" w:hanging="348"/>
      </w:pPr>
      <w:rPr>
        <w:rFonts w:hint="default"/>
        <w:lang w:val="bs" w:eastAsia="en-US" w:bidi="ar-SA"/>
      </w:rPr>
    </w:lvl>
    <w:lvl w:ilvl="4" w:tplc="A1A266F8">
      <w:numFmt w:val="bullet"/>
      <w:lvlText w:val="•"/>
      <w:lvlJc w:val="left"/>
      <w:pPr>
        <w:ind w:left="2946" w:hanging="348"/>
      </w:pPr>
      <w:rPr>
        <w:rFonts w:hint="default"/>
        <w:lang w:val="bs" w:eastAsia="en-US" w:bidi="ar-SA"/>
      </w:rPr>
    </w:lvl>
    <w:lvl w:ilvl="5" w:tplc="AC7EE440">
      <w:numFmt w:val="bullet"/>
      <w:lvlText w:val="•"/>
      <w:lvlJc w:val="left"/>
      <w:pPr>
        <w:ind w:left="3648" w:hanging="348"/>
      </w:pPr>
      <w:rPr>
        <w:rFonts w:hint="default"/>
        <w:lang w:val="bs" w:eastAsia="en-US" w:bidi="ar-SA"/>
      </w:rPr>
    </w:lvl>
    <w:lvl w:ilvl="6" w:tplc="FECA3BEC">
      <w:numFmt w:val="bullet"/>
      <w:lvlText w:val="•"/>
      <w:lvlJc w:val="left"/>
      <w:pPr>
        <w:ind w:left="4350" w:hanging="348"/>
      </w:pPr>
      <w:rPr>
        <w:rFonts w:hint="default"/>
        <w:lang w:val="bs" w:eastAsia="en-US" w:bidi="ar-SA"/>
      </w:rPr>
    </w:lvl>
    <w:lvl w:ilvl="7" w:tplc="5F440F08">
      <w:numFmt w:val="bullet"/>
      <w:lvlText w:val="•"/>
      <w:lvlJc w:val="left"/>
      <w:pPr>
        <w:ind w:left="5052" w:hanging="348"/>
      </w:pPr>
      <w:rPr>
        <w:rFonts w:hint="default"/>
        <w:lang w:val="bs" w:eastAsia="en-US" w:bidi="ar-SA"/>
      </w:rPr>
    </w:lvl>
    <w:lvl w:ilvl="8" w:tplc="1772E296">
      <w:numFmt w:val="bullet"/>
      <w:lvlText w:val="•"/>
      <w:lvlJc w:val="left"/>
      <w:pPr>
        <w:ind w:left="5754" w:hanging="348"/>
      </w:pPr>
      <w:rPr>
        <w:rFonts w:hint="default"/>
        <w:lang w:val="bs" w:eastAsia="en-US" w:bidi="ar-SA"/>
      </w:rPr>
    </w:lvl>
  </w:abstractNum>
  <w:abstractNum w:abstractNumId="16" w15:restartNumberingAfterBreak="0">
    <w:nsid w:val="64E72D6A"/>
    <w:multiLevelType w:val="hybridMultilevel"/>
    <w:tmpl w:val="D2DCECC0"/>
    <w:lvl w:ilvl="0" w:tplc="3A8A5270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" w:eastAsia="en-US" w:bidi="ar-SA"/>
      </w:rPr>
    </w:lvl>
    <w:lvl w:ilvl="1" w:tplc="092E7082">
      <w:numFmt w:val="bullet"/>
      <w:lvlText w:val="•"/>
      <w:lvlJc w:val="left"/>
      <w:pPr>
        <w:ind w:left="1448" w:hanging="348"/>
      </w:pPr>
      <w:rPr>
        <w:rFonts w:hint="default"/>
        <w:lang w:val="bs" w:eastAsia="en-US" w:bidi="ar-SA"/>
      </w:rPr>
    </w:lvl>
    <w:lvl w:ilvl="2" w:tplc="8486A7CE">
      <w:numFmt w:val="bullet"/>
      <w:lvlText w:val="•"/>
      <w:lvlJc w:val="left"/>
      <w:pPr>
        <w:ind w:left="2076" w:hanging="348"/>
      </w:pPr>
      <w:rPr>
        <w:rFonts w:hint="default"/>
        <w:lang w:val="bs" w:eastAsia="en-US" w:bidi="ar-SA"/>
      </w:rPr>
    </w:lvl>
    <w:lvl w:ilvl="3" w:tplc="2116AED6">
      <w:numFmt w:val="bullet"/>
      <w:lvlText w:val="•"/>
      <w:lvlJc w:val="left"/>
      <w:pPr>
        <w:ind w:left="2704" w:hanging="348"/>
      </w:pPr>
      <w:rPr>
        <w:rFonts w:hint="default"/>
        <w:lang w:val="bs" w:eastAsia="en-US" w:bidi="ar-SA"/>
      </w:rPr>
    </w:lvl>
    <w:lvl w:ilvl="4" w:tplc="D6FC2E92">
      <w:numFmt w:val="bullet"/>
      <w:lvlText w:val="•"/>
      <w:lvlJc w:val="left"/>
      <w:pPr>
        <w:ind w:left="3332" w:hanging="348"/>
      </w:pPr>
      <w:rPr>
        <w:rFonts w:hint="default"/>
        <w:lang w:val="bs" w:eastAsia="en-US" w:bidi="ar-SA"/>
      </w:rPr>
    </w:lvl>
    <w:lvl w:ilvl="5" w:tplc="F0207C8E">
      <w:numFmt w:val="bullet"/>
      <w:lvlText w:val="•"/>
      <w:lvlJc w:val="left"/>
      <w:pPr>
        <w:ind w:left="3960" w:hanging="348"/>
      </w:pPr>
      <w:rPr>
        <w:rFonts w:hint="default"/>
        <w:lang w:val="bs" w:eastAsia="en-US" w:bidi="ar-SA"/>
      </w:rPr>
    </w:lvl>
    <w:lvl w:ilvl="6" w:tplc="BD46BBFA">
      <w:numFmt w:val="bullet"/>
      <w:lvlText w:val="•"/>
      <w:lvlJc w:val="left"/>
      <w:pPr>
        <w:ind w:left="4588" w:hanging="348"/>
      </w:pPr>
      <w:rPr>
        <w:rFonts w:hint="default"/>
        <w:lang w:val="bs" w:eastAsia="en-US" w:bidi="ar-SA"/>
      </w:rPr>
    </w:lvl>
    <w:lvl w:ilvl="7" w:tplc="F968991C">
      <w:numFmt w:val="bullet"/>
      <w:lvlText w:val="•"/>
      <w:lvlJc w:val="left"/>
      <w:pPr>
        <w:ind w:left="5216" w:hanging="348"/>
      </w:pPr>
      <w:rPr>
        <w:rFonts w:hint="default"/>
        <w:lang w:val="bs" w:eastAsia="en-US" w:bidi="ar-SA"/>
      </w:rPr>
    </w:lvl>
    <w:lvl w:ilvl="8" w:tplc="2CB218C2">
      <w:numFmt w:val="bullet"/>
      <w:lvlText w:val="•"/>
      <w:lvlJc w:val="left"/>
      <w:pPr>
        <w:ind w:left="5844" w:hanging="348"/>
      </w:pPr>
      <w:rPr>
        <w:rFonts w:hint="default"/>
        <w:lang w:val="bs" w:eastAsia="en-US" w:bidi="ar-SA"/>
      </w:rPr>
    </w:lvl>
  </w:abstractNum>
  <w:abstractNum w:abstractNumId="1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DF7AC7"/>
    <w:multiLevelType w:val="hybridMultilevel"/>
    <w:tmpl w:val="C8AC0B60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120DB3"/>
    <w:multiLevelType w:val="hybridMultilevel"/>
    <w:tmpl w:val="672C882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4"/>
  </w:num>
  <w:num w:numId="10">
    <w:abstractNumId w:val="18"/>
  </w:num>
  <w:num w:numId="11">
    <w:abstractNumId w:val="8"/>
  </w:num>
  <w:num w:numId="12">
    <w:abstractNumId w:val="1"/>
  </w:num>
  <w:num w:numId="13">
    <w:abstractNumId w:val="19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B3"/>
    <w:rsid w:val="00007250"/>
    <w:rsid w:val="000235E8"/>
    <w:rsid w:val="00044235"/>
    <w:rsid w:val="00091D98"/>
    <w:rsid w:val="000B5587"/>
    <w:rsid w:val="000D12A0"/>
    <w:rsid w:val="000D198C"/>
    <w:rsid w:val="000D6FB8"/>
    <w:rsid w:val="00141880"/>
    <w:rsid w:val="00142220"/>
    <w:rsid w:val="0014513A"/>
    <w:rsid w:val="00153AF9"/>
    <w:rsid w:val="00160712"/>
    <w:rsid w:val="001661E2"/>
    <w:rsid w:val="00172BC1"/>
    <w:rsid w:val="00181D63"/>
    <w:rsid w:val="0018266E"/>
    <w:rsid w:val="001924BC"/>
    <w:rsid w:val="001A01C2"/>
    <w:rsid w:val="001B0E24"/>
    <w:rsid w:val="001B1366"/>
    <w:rsid w:val="001C2267"/>
    <w:rsid w:val="001C4735"/>
    <w:rsid w:val="001C4EEF"/>
    <w:rsid w:val="001D2201"/>
    <w:rsid w:val="001D7488"/>
    <w:rsid w:val="001E3E88"/>
    <w:rsid w:val="001E43C1"/>
    <w:rsid w:val="001F4F27"/>
    <w:rsid w:val="001F51C7"/>
    <w:rsid w:val="00201AEA"/>
    <w:rsid w:val="00210564"/>
    <w:rsid w:val="00210C0B"/>
    <w:rsid w:val="00215AFF"/>
    <w:rsid w:val="00232852"/>
    <w:rsid w:val="0023558C"/>
    <w:rsid w:val="00272C57"/>
    <w:rsid w:val="002807E3"/>
    <w:rsid w:val="00282C9A"/>
    <w:rsid w:val="00292FC8"/>
    <w:rsid w:val="002A05AE"/>
    <w:rsid w:val="002A3DC1"/>
    <w:rsid w:val="002B71B6"/>
    <w:rsid w:val="002B795B"/>
    <w:rsid w:val="002C27AB"/>
    <w:rsid w:val="002C56E4"/>
    <w:rsid w:val="002E0E03"/>
    <w:rsid w:val="003052C7"/>
    <w:rsid w:val="00306B8B"/>
    <w:rsid w:val="00323589"/>
    <w:rsid w:val="003245FC"/>
    <w:rsid w:val="003278CD"/>
    <w:rsid w:val="003358EF"/>
    <w:rsid w:val="00375ACC"/>
    <w:rsid w:val="003761A5"/>
    <w:rsid w:val="003767AE"/>
    <w:rsid w:val="00381B65"/>
    <w:rsid w:val="00396DED"/>
    <w:rsid w:val="003A391D"/>
    <w:rsid w:val="003C5448"/>
    <w:rsid w:val="003F24ED"/>
    <w:rsid w:val="004247EF"/>
    <w:rsid w:val="00432526"/>
    <w:rsid w:val="004462FF"/>
    <w:rsid w:val="00454609"/>
    <w:rsid w:val="00482F98"/>
    <w:rsid w:val="00486728"/>
    <w:rsid w:val="00486E55"/>
    <w:rsid w:val="00487203"/>
    <w:rsid w:val="004975C9"/>
    <w:rsid w:val="004A0D3D"/>
    <w:rsid w:val="004B6A22"/>
    <w:rsid w:val="004E57E5"/>
    <w:rsid w:val="005005AB"/>
    <w:rsid w:val="00503AE2"/>
    <w:rsid w:val="005130C7"/>
    <w:rsid w:val="0051592C"/>
    <w:rsid w:val="00527B10"/>
    <w:rsid w:val="005404B2"/>
    <w:rsid w:val="005A2988"/>
    <w:rsid w:val="005B54E3"/>
    <w:rsid w:val="005C387B"/>
    <w:rsid w:val="005D01EA"/>
    <w:rsid w:val="005D0924"/>
    <w:rsid w:val="005E311D"/>
    <w:rsid w:val="005E442F"/>
    <w:rsid w:val="005F3C0B"/>
    <w:rsid w:val="00610A66"/>
    <w:rsid w:val="00633F09"/>
    <w:rsid w:val="00642247"/>
    <w:rsid w:val="00683BD5"/>
    <w:rsid w:val="0069482D"/>
    <w:rsid w:val="006B1B6D"/>
    <w:rsid w:val="006C0D06"/>
    <w:rsid w:val="006F08F2"/>
    <w:rsid w:val="007116ED"/>
    <w:rsid w:val="00713802"/>
    <w:rsid w:val="007442D2"/>
    <w:rsid w:val="00765A35"/>
    <w:rsid w:val="00770233"/>
    <w:rsid w:val="00781205"/>
    <w:rsid w:val="00784804"/>
    <w:rsid w:val="0079174D"/>
    <w:rsid w:val="007A6848"/>
    <w:rsid w:val="007A68F4"/>
    <w:rsid w:val="007B1371"/>
    <w:rsid w:val="007B2427"/>
    <w:rsid w:val="007D35C7"/>
    <w:rsid w:val="007E4861"/>
    <w:rsid w:val="007F2D22"/>
    <w:rsid w:val="007F44B3"/>
    <w:rsid w:val="00801B9C"/>
    <w:rsid w:val="0081412B"/>
    <w:rsid w:val="008171A3"/>
    <w:rsid w:val="00822A43"/>
    <w:rsid w:val="008268D0"/>
    <w:rsid w:val="00830DDC"/>
    <w:rsid w:val="0083461D"/>
    <w:rsid w:val="00843EBB"/>
    <w:rsid w:val="00844E85"/>
    <w:rsid w:val="0085445C"/>
    <w:rsid w:val="00862F15"/>
    <w:rsid w:val="00867FCA"/>
    <w:rsid w:val="00873596"/>
    <w:rsid w:val="00881CA6"/>
    <w:rsid w:val="00890F05"/>
    <w:rsid w:val="00895251"/>
    <w:rsid w:val="008A7233"/>
    <w:rsid w:val="008B2939"/>
    <w:rsid w:val="008D3023"/>
    <w:rsid w:val="008D443E"/>
    <w:rsid w:val="008E0748"/>
    <w:rsid w:val="00904251"/>
    <w:rsid w:val="00913FF7"/>
    <w:rsid w:val="00925BC4"/>
    <w:rsid w:val="00974D83"/>
    <w:rsid w:val="00977BF3"/>
    <w:rsid w:val="0098584B"/>
    <w:rsid w:val="00986F75"/>
    <w:rsid w:val="00993726"/>
    <w:rsid w:val="009943E2"/>
    <w:rsid w:val="009B157B"/>
    <w:rsid w:val="009B6A0A"/>
    <w:rsid w:val="009F1050"/>
    <w:rsid w:val="00A029B0"/>
    <w:rsid w:val="00A074DD"/>
    <w:rsid w:val="00A12BCF"/>
    <w:rsid w:val="00A213D6"/>
    <w:rsid w:val="00A538A0"/>
    <w:rsid w:val="00A66582"/>
    <w:rsid w:val="00A82030"/>
    <w:rsid w:val="00A905E0"/>
    <w:rsid w:val="00AA11AC"/>
    <w:rsid w:val="00AA3B14"/>
    <w:rsid w:val="00AA54D9"/>
    <w:rsid w:val="00AA7E1B"/>
    <w:rsid w:val="00AB4866"/>
    <w:rsid w:val="00AD1C2C"/>
    <w:rsid w:val="00AE5EBE"/>
    <w:rsid w:val="00B8447B"/>
    <w:rsid w:val="00BA68F9"/>
    <w:rsid w:val="00BB0483"/>
    <w:rsid w:val="00BB1A9D"/>
    <w:rsid w:val="00BE74FB"/>
    <w:rsid w:val="00BF32D0"/>
    <w:rsid w:val="00BF3FC8"/>
    <w:rsid w:val="00C15699"/>
    <w:rsid w:val="00C25FC2"/>
    <w:rsid w:val="00C554A2"/>
    <w:rsid w:val="00C712BF"/>
    <w:rsid w:val="00C84CDC"/>
    <w:rsid w:val="00C96124"/>
    <w:rsid w:val="00CA0EAC"/>
    <w:rsid w:val="00CD16DA"/>
    <w:rsid w:val="00CD65E4"/>
    <w:rsid w:val="00CE1BDC"/>
    <w:rsid w:val="00CE47A4"/>
    <w:rsid w:val="00CE491A"/>
    <w:rsid w:val="00CF082E"/>
    <w:rsid w:val="00D07886"/>
    <w:rsid w:val="00D307FA"/>
    <w:rsid w:val="00D41CD7"/>
    <w:rsid w:val="00D928FC"/>
    <w:rsid w:val="00DA3D1C"/>
    <w:rsid w:val="00DB670F"/>
    <w:rsid w:val="00DB6AD5"/>
    <w:rsid w:val="00DC029C"/>
    <w:rsid w:val="00DE76C5"/>
    <w:rsid w:val="00E003F2"/>
    <w:rsid w:val="00E00CB0"/>
    <w:rsid w:val="00E0386E"/>
    <w:rsid w:val="00E5706D"/>
    <w:rsid w:val="00E664A2"/>
    <w:rsid w:val="00E7198A"/>
    <w:rsid w:val="00E8593B"/>
    <w:rsid w:val="00E912A3"/>
    <w:rsid w:val="00E95261"/>
    <w:rsid w:val="00EB7C8F"/>
    <w:rsid w:val="00EC3808"/>
    <w:rsid w:val="00EE75A8"/>
    <w:rsid w:val="00EF0485"/>
    <w:rsid w:val="00F30A9B"/>
    <w:rsid w:val="00F321D0"/>
    <w:rsid w:val="00F52E93"/>
    <w:rsid w:val="00F7113E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34656"/>
  <w15:docId w15:val="{FD37F594-98CF-4EE8-AE96-3CCA08F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spacing w:before="91"/>
      <w:ind w:left="2921"/>
      <w:outlineLvl w:val="0"/>
    </w:pPr>
    <w:rPr>
      <w:b/>
      <w:bCs/>
      <w:i/>
      <w:iCs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765A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22"/>
      <w:ind w:left="236"/>
    </w:pPr>
    <w:rPr>
      <w:rFonts w:ascii="Calibri" w:eastAsia="Calibri" w:hAnsi="Calibri" w:cs="Calibri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ind w:left="29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7Char">
    <w:name w:val="Naslov 7 Char"/>
    <w:basedOn w:val="Zadanifontodlomka"/>
    <w:link w:val="Naslov7"/>
    <w:uiPriority w:val="9"/>
    <w:rsid w:val="00765A35"/>
    <w:rPr>
      <w:rFonts w:asciiTheme="majorHAnsi" w:eastAsiaTheme="majorEastAsia" w:hAnsiTheme="majorHAnsi" w:cstheme="majorBidi"/>
      <w:i/>
      <w:iCs/>
      <w:color w:val="243F60" w:themeColor="accent1" w:themeShade="7F"/>
      <w:lang w:val="bs"/>
    </w:rPr>
  </w:style>
  <w:style w:type="paragraph" w:styleId="Podnoje">
    <w:name w:val="footer"/>
    <w:basedOn w:val="Normal"/>
    <w:link w:val="PodnojeChar"/>
    <w:uiPriority w:val="99"/>
    <w:rsid w:val="00CF082E"/>
    <w:pPr>
      <w:widowControl/>
      <w:tabs>
        <w:tab w:val="center" w:pos="4536"/>
        <w:tab w:val="right" w:pos="9072"/>
      </w:tabs>
      <w:autoSpaceDE/>
      <w:autoSpaceDN/>
      <w:jc w:val="both"/>
    </w:pPr>
    <w:rPr>
      <w:rFonts w:eastAsia="Calibri"/>
      <w:sz w:val="24"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F082E"/>
    <w:rPr>
      <w:rFonts w:ascii="Times New Roman" w:eastAsia="Calibri" w:hAnsi="Times New Roman" w:cs="Times New Roman"/>
      <w:sz w:val="24"/>
      <w:szCs w:val="20"/>
      <w:lang w:val="hr-HR"/>
    </w:rPr>
  </w:style>
  <w:style w:type="character" w:styleId="Hiperveza">
    <w:name w:val="Hyperlink"/>
    <w:rsid w:val="003278C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5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57B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EB7C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7C8F"/>
    <w:rPr>
      <w:rFonts w:ascii="Times New Roman" w:eastAsia="Times New Roman" w:hAnsi="Times New Roman" w:cs="Times New Roman"/>
      <w:lang w:val="bs"/>
    </w:rPr>
  </w:style>
  <w:style w:type="table" w:styleId="Reetkatablice">
    <w:name w:val="Table Grid"/>
    <w:basedOn w:val="Obinatablica"/>
    <w:rsid w:val="00A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5445C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5445C"/>
    <w:rPr>
      <w:rFonts w:ascii="Times New Roman" w:eastAsia="Times New Roman" w:hAnsi="Times New Roman" w:cs="Times New Roman"/>
      <w:lang w:val="bs"/>
    </w:rPr>
  </w:style>
  <w:style w:type="paragraph" w:styleId="Bezproreda">
    <w:name w:val="No Spacing"/>
    <w:uiPriority w:val="1"/>
    <w:qFormat/>
    <w:rsid w:val="00044235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s-jkozarca-semeljc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os-jkozarca-semeljc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DCAD-9C98-4111-8A93-3BB43923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14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19</cp:revision>
  <cp:lastPrinted>2025-07-18T07:48:00Z</cp:lastPrinted>
  <dcterms:created xsi:type="dcterms:W3CDTF">2025-03-06T20:04:00Z</dcterms:created>
  <dcterms:modified xsi:type="dcterms:W3CDTF">2025-07-28T08:25:00Z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